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34"/>
      <w:bookmarkStart w:id="4" w:name="OLE_LINK33"/>
      <w:bookmarkStart w:id="5" w:name="OLE_LINK13"/>
      <w:r>
        <w:rPr>
          <w:rFonts w:hint="eastAsia" w:ascii="Arial" w:hAnsi="Arial" w:eastAsia="宋体"/>
          <w:b/>
          <w:lang w:eastAsia="ja-JP"/>
        </w:rPr>
        <w:t>3GPP TSG RAN WG1 #</w:t>
      </w:r>
      <w:r>
        <w:rPr>
          <w:rFonts w:hint="eastAsia" w:ascii="Arial" w:hAnsi="Arial" w:eastAsia="宋体"/>
          <w:b/>
        </w:rPr>
        <w:t xml:space="preserve">108-e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R1-2201196</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hint="eastAsia" w:ascii="Arial" w:hAnsi="Arial" w:cs="Arial"/>
          <w:b/>
        </w:rPr>
        <w:t>e-Meeting, February 21</w:t>
      </w:r>
      <w:r>
        <w:rPr>
          <w:rFonts w:hint="eastAsia" w:ascii="Arial" w:hAnsi="Arial" w:cs="Arial"/>
          <w:b/>
          <w:vertAlign w:val="superscript"/>
        </w:rPr>
        <w:t>st</w:t>
      </w:r>
      <w:r>
        <w:rPr>
          <w:rFonts w:hint="default" w:ascii="Arial" w:hAnsi="Arial" w:cs="Arial"/>
          <w:b/>
        </w:rPr>
        <w:t xml:space="preserve"> </w:t>
      </w:r>
      <w:r>
        <w:rPr>
          <w:rFonts w:hint="eastAsia" w:ascii="Arial" w:hAnsi="Arial" w:cs="Arial"/>
          <w:b/>
          <w:lang w:val="en-US" w:eastAsia="zh-CN"/>
        </w:rPr>
        <w:t xml:space="preserve">- </w:t>
      </w:r>
      <w:r>
        <w:rPr>
          <w:rFonts w:hint="eastAsia" w:ascii="Arial" w:hAnsi="Arial" w:cs="Arial"/>
          <w:b/>
        </w:rPr>
        <w:t>March 3</w:t>
      </w:r>
      <w:r>
        <w:rPr>
          <w:rFonts w:hint="eastAsia" w:ascii="Arial" w:hAnsi="Arial" w:cs="Arial"/>
          <w:b/>
          <w:vertAlign w:val="superscript"/>
        </w:rPr>
        <w:t>rd</w:t>
      </w:r>
      <w:r>
        <w:rPr>
          <w:rFonts w:hint="eastAsia"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b/>
        </w:rPr>
      </w:pPr>
      <w:r>
        <w:rPr>
          <w:rFonts w:hint="eastAsia" w:ascii="Arial" w:hAnsi="Arial" w:eastAsia="宋体"/>
          <w:b/>
        </w:rPr>
        <w:t>Source:         ZTE</w:t>
      </w:r>
      <w:r>
        <w:rPr>
          <w:rFonts w:ascii="Arial" w:hAnsi="Arial" w:eastAsia="宋体"/>
          <w:b/>
        </w:rPr>
        <w:t xml:space="preserve"> </w:t>
      </w:r>
    </w:p>
    <w:p>
      <w:pPr>
        <w:tabs>
          <w:tab w:val="center" w:pos="4536"/>
          <w:tab w:val="right" w:pos="8280"/>
          <w:tab w:val="right" w:pos="9639"/>
        </w:tabs>
        <w:snapToGrid w:val="0"/>
        <w:spacing w:after="0" w:line="240" w:lineRule="auto"/>
        <w:ind w:left="442" w:right="2" w:hanging="442" w:hangingChars="200"/>
        <w:jc w:val="both"/>
        <w:rPr>
          <w:rFonts w:ascii="Arial" w:hAnsi="Arial" w:eastAsia="宋体"/>
          <w:b/>
        </w:rPr>
      </w:pPr>
      <w:r>
        <w:rPr>
          <w:rFonts w:hint="eastAsia" w:ascii="Arial" w:hAnsi="Arial" w:eastAsia="宋体"/>
          <w:b/>
        </w:rPr>
        <w:t>Title:            Remaining issues on latency reduction for NR positioning</w:t>
      </w:r>
    </w:p>
    <w:bookmarkEnd w:id="1"/>
    <w:p>
      <w:pPr>
        <w:tabs>
          <w:tab w:val="center" w:pos="4536"/>
          <w:tab w:val="right" w:pos="8280"/>
          <w:tab w:val="right" w:pos="9639"/>
        </w:tabs>
        <w:snapToGrid w:val="0"/>
        <w:spacing w:after="0" w:line="240" w:lineRule="auto"/>
        <w:ind w:left="442" w:right="2" w:hanging="442" w:hangingChars="200"/>
        <w:jc w:val="both"/>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8.5.4</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jc w:val="both"/>
        <w:rPr>
          <w:sz w:val="28"/>
          <w:lang w:val="en-US"/>
        </w:rPr>
      </w:pPr>
      <w:r>
        <w:rPr>
          <w:sz w:val="28"/>
          <w:lang w:val="en-US"/>
        </w:rPr>
        <w:t>Introduction</w:t>
      </w:r>
      <w:bookmarkStart w:id="8" w:name="_GoBack"/>
      <w:bookmarkEnd w:id="8"/>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0"/>
        </w:rPr>
      </w:pPr>
      <w:r>
        <w:rPr>
          <w:rFonts w:hint="eastAsia" w:ascii="Times New Roman" w:hAnsi="Times New Roman"/>
          <w:sz w:val="20"/>
          <w:szCs w:val="20"/>
        </w:rPr>
        <w:t>A lot of progresses have been made for Rel-17 NR positioning before the WID was officially done in RAN1. I</w:t>
      </w:r>
      <w:r>
        <w:rPr>
          <w:rFonts w:ascii="Times New Roman" w:hAnsi="Times New Roman"/>
          <w:sz w:val="20"/>
          <w:szCs w:val="20"/>
        </w:rPr>
        <w:t xml:space="preserve">n this contribution, we provide our views on </w:t>
      </w:r>
      <w:r>
        <w:rPr>
          <w:rFonts w:hint="eastAsia" w:ascii="Times New Roman" w:hAnsi="Times New Roman"/>
          <w:sz w:val="20"/>
          <w:szCs w:val="20"/>
        </w:rPr>
        <w:t>remaining issues for latency reduction.</w:t>
      </w:r>
    </w:p>
    <w:p>
      <w:pPr>
        <w:pStyle w:val="2"/>
        <w:snapToGrid w:val="0"/>
        <w:spacing w:before="180" w:beforeLines="50" w:after="180" w:afterLines="50"/>
        <w:ind w:left="431" w:hanging="431"/>
        <w:jc w:val="both"/>
        <w:rPr>
          <w:sz w:val="28"/>
          <w:lang w:val="en-US"/>
        </w:rPr>
      </w:pPr>
      <w:r>
        <w:rPr>
          <w:rFonts w:hint="eastAsia"/>
          <w:sz w:val="28"/>
          <w:lang w:val="en-US"/>
        </w:rPr>
        <w:t>Remaining issues on the PRS measurement outside MG</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2.1 PRS processing window indication</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0"/>
        </w:rPr>
      </w:pPr>
      <w:r>
        <w:rPr>
          <w:rFonts w:hint="eastAsia" w:ascii="Times New Roman" w:hAnsi="Times New Roman"/>
          <w:sz w:val="20"/>
          <w:szCs w:val="20"/>
        </w:rPr>
        <w:t>In RAN1#107e</w:t>
      </w:r>
      <w:r>
        <w:rPr>
          <w:rFonts w:ascii="Times New Roman" w:hAnsi="Times New Roman"/>
          <w:sz w:val="20"/>
          <w:szCs w:val="20"/>
        </w:rPr>
        <w:t xml:space="preserve"> meeting</w:t>
      </w:r>
      <w:r>
        <w:rPr>
          <w:rFonts w:hint="eastAsia" w:ascii="Times New Roman" w:hAnsi="Times New Roman"/>
          <w:sz w:val="20"/>
          <w:szCs w:val="20"/>
        </w:rPr>
        <w:t>, how to indicate the PRS processing window was discussed. Some parameters need to be further confirm in this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b/>
                <w:sz w:val="20"/>
                <w:szCs w:val="20"/>
                <w:u w:val="single"/>
              </w:rPr>
            </w:pPr>
            <w:r>
              <w:rPr>
                <w:rFonts w:ascii="Times New Roman" w:hAnsi="Times New Roman"/>
                <w:b/>
                <w:sz w:val="20"/>
                <w:szCs w:val="20"/>
                <w:u w:val="single"/>
              </w:rPr>
              <w:t>Agreement</w:t>
            </w:r>
            <w:r>
              <w:rPr>
                <w:rFonts w:hint="eastAsia" w:ascii="Times New Roman" w:hAnsi="Times New Roman"/>
                <w:b/>
                <w:sz w:val="20"/>
                <w:szCs w:val="20"/>
                <w:u w:val="single"/>
              </w:rPr>
              <w:t>:</w:t>
            </w:r>
          </w:p>
          <w:p>
            <w:pPr>
              <w:spacing w:before="180" w:beforeLines="50" w:after="180" w:afterLines="50" w:line="240" w:lineRule="auto"/>
              <w:rPr>
                <w:rFonts w:ascii="Times New Roman" w:hAnsi="Times New Roman"/>
                <w:sz w:val="20"/>
                <w:szCs w:val="20"/>
              </w:rPr>
            </w:pPr>
            <w:r>
              <w:rPr>
                <w:rFonts w:ascii="Times New Roman" w:hAnsi="Times New Roman"/>
                <w:sz w:val="20"/>
                <w:szCs w:val="20"/>
              </w:rPr>
              <w:t>At least the following parameters for PRS processing window from the gNB to the UE are supported.</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Starting slot</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Periodicity</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Duration/length</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Cell and SCS information associated with the above parameters</w:t>
            </w:r>
          </w:p>
          <w:p>
            <w:pPr>
              <w:spacing w:before="180" w:beforeLines="50" w:after="180" w:afterLines="50" w:line="240" w:lineRule="auto"/>
              <w:rPr>
                <w:rFonts w:ascii="Times New Roman" w:hAnsi="Times New Roman"/>
                <w:sz w:val="20"/>
                <w:szCs w:val="20"/>
              </w:rPr>
            </w:pPr>
            <w:r>
              <w:rPr>
                <w:rFonts w:ascii="Times New Roman" w:hAnsi="Times New Roman"/>
                <w:sz w:val="20"/>
                <w:szCs w:val="20"/>
              </w:rPr>
              <w:t>Discuss during the maintenance phase on the necessity of other parameters including but not limited to</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Processing type (associated with the corresponding UE capability 1A/1B/2)</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Band/CC-ID as needed depending on each scenario on which the PRS processing window is applied</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The above cell and SCS information to determine where/when the PRS processing window is applied</w:t>
            </w:r>
          </w:p>
          <w:p>
            <w:pPr>
              <w:spacing w:before="180" w:beforeLines="50" w:after="180" w:afterLines="50" w:line="240" w:lineRule="auto"/>
              <w:rPr>
                <w:rFonts w:ascii="Times New Roman" w:hAnsi="Times New Roman"/>
                <w:sz w:val="20"/>
                <w:szCs w:val="20"/>
              </w:rPr>
            </w:pPr>
            <w:r>
              <w:rPr>
                <w:rFonts w:ascii="Times New Roman" w:hAnsi="Times New Roman"/>
                <w:sz w:val="20"/>
                <w:szCs w:val="20"/>
              </w:rPr>
              <w:t>Note: Indication of processing type does not suggest UE indication of multiple capabilities among (1A/1B/2) is already supported, which is a separate discussion.</w:t>
            </w:r>
          </w:p>
          <w:p>
            <w:pPr>
              <w:spacing w:before="180" w:beforeLines="50" w:after="180" w:afterLines="50" w:line="240" w:lineRule="auto"/>
              <w:rPr>
                <w:rFonts w:ascii="Times New Roman" w:hAnsi="Times New Roman"/>
                <w:sz w:val="20"/>
                <w:szCs w:val="20"/>
              </w:rPr>
            </w:pPr>
            <w:r>
              <w:rPr>
                <w:rFonts w:ascii="Times New Roman" w:hAnsi="Times New Roman"/>
                <w:sz w:val="20"/>
                <w:szCs w:val="20"/>
              </w:rPr>
              <w:t>Note: Some of the parameters above may not be mandatory for a PRS processing window</w:t>
            </w:r>
          </w:p>
        </w:tc>
      </w:tr>
    </w:tbl>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0"/>
        </w:rPr>
      </w:pPr>
      <w:r>
        <w:rPr>
          <w:rFonts w:hint="eastAsia" w:ascii="Times New Roman" w:hAnsi="Times New Roman"/>
          <w:sz w:val="20"/>
          <w:szCs w:val="20"/>
        </w:rPr>
        <w:t>Based on different UE implementations, a UE may be able to declare to support more than one type of UE capability. Therefore, the network side may further indicate which UE capability can be applied to a measurement report according to latency requirement. Moreover, we have agreed that Capability 1B is supported by UE per frequency band basis. So, it</w:t>
      </w:r>
      <w:r>
        <w:rPr>
          <w:rFonts w:ascii="Times New Roman" w:hAnsi="Times New Roman"/>
          <w:sz w:val="20"/>
          <w:szCs w:val="20"/>
        </w:rPr>
        <w:t>’</w:t>
      </w:r>
      <w:r>
        <w:rPr>
          <w:rFonts w:hint="eastAsia" w:ascii="Times New Roman" w:hAnsi="Times New Roman"/>
          <w:sz w:val="20"/>
          <w:szCs w:val="20"/>
        </w:rPr>
        <w:t xml:space="preserve">s natural that network should inform UE which frequency band </w:t>
      </w:r>
      <w:r>
        <w:rPr>
          <w:rFonts w:ascii="Times New Roman" w:hAnsi="Times New Roman"/>
          <w:sz w:val="20"/>
          <w:szCs w:val="20"/>
        </w:rPr>
        <w:t>is</w:t>
      </w:r>
      <w:r>
        <w:rPr>
          <w:rFonts w:hint="eastAsia" w:ascii="Times New Roman" w:hAnsi="Times New Roman"/>
          <w:sz w:val="20"/>
          <w:szCs w:val="20"/>
        </w:rPr>
        <w:t xml:space="preserve"> applied to conduct measurement. Considering that a UE may be configured with multiple carriers with different SCS, the CC ID should also be provided to UE, which help</w:t>
      </w:r>
      <w:r>
        <w:rPr>
          <w:rFonts w:hint="eastAsia" w:ascii="Times New Roman" w:hAnsi="Times New Roman"/>
          <w:sz w:val="20"/>
          <w:szCs w:val="20"/>
          <w:lang w:val="en-US" w:eastAsia="zh-CN"/>
        </w:rPr>
        <w:t>s</w:t>
      </w:r>
      <w:r>
        <w:rPr>
          <w:rFonts w:hint="eastAsia" w:ascii="Times New Roman" w:hAnsi="Times New Roman"/>
          <w:sz w:val="20"/>
          <w:szCs w:val="20"/>
        </w:rPr>
        <w:t xml:space="preserve"> UE to understand when to start the PRS processing window. </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0"/>
        </w:rPr>
      </w:pPr>
      <w:r>
        <w:rPr>
          <w:rFonts w:hint="eastAsia" w:ascii="Times New Roman" w:hAnsi="Times New Roman"/>
          <w:sz w:val="20"/>
          <w:szCs w:val="20"/>
        </w:rPr>
        <w:t>In addition, RAN3 has approved that LMF can provide UE-associated class 1 procedure to deliver a full PRS configuration to gNB. So, gNB is aware of which PRS configuration (including the information of positioning frequency layer) that a UE is required to measure. Hence, in order to reduce the complexity, we prefer to support UE to only measure DL PRS from a single positioning frequency layer in a PRS processing window. So gNB should also need to indicate which positioning frequency layer that the UE should conduct measurements in a PRS processing window.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b/>
                <w:bCs/>
                <w:sz w:val="20"/>
                <w:szCs w:val="20"/>
                <w:u w:val="single"/>
              </w:rPr>
            </w:pPr>
            <w:r>
              <w:rPr>
                <w:rFonts w:ascii="Times New Roman" w:hAnsi="Times New Roman"/>
                <w:b/>
                <w:bCs/>
                <w:sz w:val="20"/>
                <w:szCs w:val="20"/>
                <w:u w:val="single"/>
              </w:rPr>
              <w:t>Agreement</w:t>
            </w:r>
            <w:r>
              <w:rPr>
                <w:rFonts w:hint="eastAsia" w:ascii="Times New Roman" w:hAnsi="Times New Roman"/>
                <w:b/>
                <w:bCs/>
                <w:sz w:val="20"/>
                <w:szCs w:val="20"/>
                <w:u w:val="single"/>
              </w:rPr>
              <w:t xml:space="preserve"> in RAN3#114b-e</w:t>
            </w:r>
            <w:r>
              <w:rPr>
                <w:rFonts w:ascii="Times New Roman" w:hAnsi="Times New Roman"/>
                <w:b/>
                <w:bCs/>
                <w:sz w:val="20"/>
                <w:szCs w:val="20"/>
                <w:u w:val="single"/>
              </w:rPr>
              <w:t>:</w:t>
            </w:r>
          </w:p>
          <w:p>
            <w:pPr>
              <w:widowControl w:val="0"/>
              <w:numPr>
                <w:ilvl w:val="0"/>
                <w:numId w:val="3"/>
              </w:numPr>
              <w:spacing w:after="0" w:line="240" w:lineRule="auto"/>
              <w:jc w:val="both"/>
              <w:rPr>
                <w:rFonts w:ascii="Times New Roman" w:hAnsi="Times New Roman"/>
                <w:kern w:val="2"/>
                <w:sz w:val="21"/>
                <w:szCs w:val="24"/>
              </w:rPr>
            </w:pPr>
            <w:r>
              <w:rPr>
                <w:rFonts w:ascii="Times New Roman" w:hAnsi="Times New Roman"/>
                <w:kern w:val="2"/>
                <w:sz w:val="21"/>
                <w:szCs w:val="24"/>
              </w:rPr>
              <w:t>LMF provides a full PRS configuration to gNB as assistance information, and the gNB determines the pre-configuration of MG.</w:t>
            </w:r>
          </w:p>
          <w:p>
            <w:pPr>
              <w:widowControl w:val="0"/>
              <w:numPr>
                <w:ilvl w:val="0"/>
                <w:numId w:val="3"/>
              </w:numPr>
              <w:spacing w:after="0" w:line="240" w:lineRule="auto"/>
              <w:jc w:val="both"/>
              <w:rPr>
                <w:rFonts w:ascii="Times New Roman" w:hAnsi="Times New Roman"/>
                <w:b/>
                <w:bCs/>
                <w:sz w:val="24"/>
                <w:szCs w:val="24"/>
              </w:rPr>
            </w:pPr>
            <w:r>
              <w:rPr>
                <w:rFonts w:ascii="Times New Roman" w:hAnsi="Times New Roman"/>
                <w:kern w:val="2"/>
                <w:sz w:val="21"/>
                <w:szCs w:val="24"/>
              </w:rPr>
              <w:t>A UE-associated class 1 procedure is used to provide a full PRS configuration to gNB as assistance information of the pre-configuration of MG. FFS on using new defined or existing signaling procedure.</w:t>
            </w:r>
          </w:p>
        </w:tc>
      </w:tr>
    </w:tbl>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Further support the following parameters for PRS processing window indication from the gNB to UE,</w:t>
      </w:r>
    </w:p>
    <w:p>
      <w:pPr>
        <w:widowControl w:val="0"/>
        <w:numPr>
          <w:ilvl w:val="0"/>
          <w:numId w:val="3"/>
        </w:numPr>
        <w:spacing w:before="180" w:beforeLines="50" w:after="180" w:afterLines="50" w:line="240" w:lineRule="auto"/>
        <w:jc w:val="both"/>
        <w:rPr>
          <w:rFonts w:ascii="Times New Roman" w:hAnsi="Times New Roman"/>
          <w:i/>
          <w:iCs/>
          <w:sz w:val="20"/>
          <w:szCs w:val="20"/>
        </w:rPr>
      </w:pPr>
      <w:r>
        <w:rPr>
          <w:rFonts w:ascii="Times New Roman" w:hAnsi="Times New Roman"/>
          <w:i/>
          <w:iCs/>
          <w:kern w:val="2"/>
          <w:sz w:val="21"/>
          <w:szCs w:val="24"/>
        </w:rPr>
        <w:t>Processing type (associated with the corresponding UE capability 1A/1B/2)</w:t>
      </w:r>
    </w:p>
    <w:p>
      <w:pPr>
        <w:widowControl w:val="0"/>
        <w:numPr>
          <w:ilvl w:val="0"/>
          <w:numId w:val="3"/>
        </w:numPr>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Band/CC-ID </w:t>
      </w:r>
      <w:r>
        <w:rPr>
          <w:rFonts w:hint="eastAsia" w:ascii="Times New Roman" w:hAnsi="Times New Roman"/>
          <w:i/>
          <w:iCs/>
          <w:sz w:val="20"/>
          <w:szCs w:val="20"/>
        </w:rPr>
        <w:t>at least for Capability 1B</w:t>
      </w:r>
    </w:p>
    <w:p>
      <w:pPr>
        <w:widowControl w:val="0"/>
        <w:numPr>
          <w:ilvl w:val="0"/>
          <w:numId w:val="3"/>
        </w:numPr>
        <w:spacing w:before="180" w:beforeLines="50" w:after="180" w:afterLines="50" w:line="240" w:lineRule="auto"/>
        <w:jc w:val="both"/>
      </w:pPr>
      <w:r>
        <w:rPr>
          <w:rFonts w:hint="eastAsia" w:ascii="Times New Roman" w:hAnsi="Times New Roman"/>
          <w:i/>
          <w:iCs/>
          <w:sz w:val="20"/>
          <w:szCs w:val="20"/>
        </w:rPr>
        <w:t>Positioning frequency layer ID in order to support a single positioning frequency layer in a PRS processing window</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2.2 PRS processing capability enhancements</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According to the UE feature defined in Rel-16 for DL PRS processing, The N ms of symbols may be located in anywhere within the duration of T ms as shown in following figures,</w:t>
      </w:r>
    </w:p>
    <w:p>
      <w:pPr>
        <w:adjustRightInd w:val="0"/>
        <w:snapToGrid w:val="0"/>
        <w:spacing w:before="180" w:beforeLines="50" w:after="180" w:afterLines="50" w:line="240" w:lineRule="auto"/>
        <w:jc w:val="center"/>
      </w:pPr>
      <w:r>
        <w:drawing>
          <wp:inline distT="0" distB="0" distL="114300" distR="114300">
            <wp:extent cx="5062220" cy="1132205"/>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7"/>
                    <a:srcRect r="-2113" b="20966"/>
                    <a:stretch>
                      <a:fillRect/>
                    </a:stretch>
                  </pic:blipFill>
                  <pic:spPr>
                    <a:xfrm>
                      <a:off x="0" y="0"/>
                      <a:ext cx="5062220" cy="1132205"/>
                    </a:xfrm>
                    <a:prstGeom prst="rect">
                      <a:avLst/>
                    </a:prstGeom>
                  </pic:spPr>
                </pic:pic>
              </a:graphicData>
            </a:graphic>
          </wp:inline>
        </w:drawing>
      </w:r>
    </w:p>
    <w:p>
      <w:pPr>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1A                    Figure 1B                   Figure 1C</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defined in the formula of TS 38.133 for the measurement period, the component T</w:t>
      </w:r>
      <w:r>
        <w:rPr>
          <w:rFonts w:hint="eastAsia" w:ascii="Times New Roman" w:hAnsi="Times New Roman"/>
          <w:sz w:val="20"/>
          <w:szCs w:val="20"/>
          <w:vertAlign w:val="subscript"/>
        </w:rPr>
        <w:t xml:space="preserve">last </w:t>
      </w:r>
      <w:r>
        <w:rPr>
          <w:rFonts w:hint="eastAsia" w:ascii="Times New Roman" w:hAnsi="Times New Roman"/>
          <w:sz w:val="20"/>
          <w:szCs w:val="20"/>
        </w:rPr>
        <w:t>is the measurement duration for the last PRS sample, including the sampling time and processing time. The T</w:t>
      </w:r>
      <w:r>
        <w:rPr>
          <w:rFonts w:hint="eastAsia" w:ascii="Times New Roman" w:hAnsi="Times New Roman"/>
          <w:sz w:val="20"/>
          <w:szCs w:val="20"/>
          <w:vertAlign w:val="subscript"/>
        </w:rPr>
        <w:t>last</w:t>
      </w:r>
      <w:r>
        <w:rPr>
          <w:rFonts w:hint="eastAsia" w:ascii="Times New Roman" w:hAnsi="Times New Roman"/>
          <w:sz w:val="20"/>
          <w:szCs w:val="20"/>
        </w:rPr>
        <w:t xml:space="preserve"> is to consider the cases that PRS resources from different sets are not concentrated on the same MG instance or PRS resources appear in the end of the processing window (e.g. Figure 1c shown above).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hint="eastAsia" w:ascii="Times New Roman" w:hAnsi="Times New Roman"/>
          <w:sz w:val="20"/>
          <w:szCs w:val="20"/>
        </w:rPr>
        <w:t>s not acceptable to take additional time after the end of the PRS processing window.</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According to the measurement period defined in TS 38.133, UE needs additional latency for sampling and processing of the last PRS sample, which leads to a longer measurement period.</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order to reduce the latency for DL PRS measurement in the PRS processing window,</w:t>
      </w:r>
      <w:r>
        <w:rPr>
          <w:rFonts w:ascii="Times New Roman" w:hAnsi="Times New Roman"/>
          <w:sz w:val="20"/>
          <w:szCs w:val="20"/>
        </w:rPr>
        <w:t xml:space="preserve"> </w:t>
      </w:r>
      <w:r>
        <w:rPr>
          <w:rFonts w:hint="eastAsia" w:ascii="Times New Roman" w:hAnsi="Times New Roman"/>
          <w:sz w:val="20"/>
          <w:szCs w:val="20"/>
        </w:rPr>
        <w:t>the location information report should be ready right after the end of the PRS processing window. That is, UE has to finish all the DL PRS receiving and computation in the PRS processing window to make full use of its hardware resources. A PRS processing capability shown in the Figure 2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at least one combination of {N, T} under the following interpretations,</w:t>
      </w:r>
    </w:p>
    <w:p>
      <w:pPr>
        <w:numPr>
          <w:ilvl w:val="0"/>
          <w:numId w:val="4"/>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During the first part of the window with duration of L-(T-N) msec, up to N msec of PRS symbols are expected to be buffered, where L is the duration of the PRS processing window, and (N,T) is the reported capability for MG-less PRS processing.</w:t>
      </w:r>
    </w:p>
    <w:p>
      <w:pPr>
        <w:numPr>
          <w:ilvl w:val="0"/>
          <w:numId w:val="4"/>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UE is expected to be capable of reporting measurements derived on the PRS measured in the first window after T msec from the end of first part of the PRS processing window</w:t>
      </w:r>
    </w:p>
    <w:p>
      <w:pPr>
        <w:numPr>
          <w:ilvl w:val="0"/>
          <w:numId w:val="4"/>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UE is not expected to be configured a PRS processing window with duration smaller than (T-N) msec</w:t>
      </w:r>
    </w:p>
    <w:p>
      <w:pPr>
        <w:adjustRightInd w:val="0"/>
        <w:snapToGrid w:val="0"/>
        <w:spacing w:before="180" w:beforeLines="50" w:after="180" w:afterLines="50" w:line="240" w:lineRule="auto"/>
        <w:jc w:val="center"/>
        <w:rPr>
          <w:rFonts w:ascii="Times New Roman" w:hAnsi="Times New Roman"/>
          <w:sz w:val="20"/>
          <w:szCs w:val="20"/>
        </w:rPr>
      </w:pPr>
      <w:r>
        <w:drawing>
          <wp:inline distT="0" distB="0" distL="114300" distR="114300">
            <wp:extent cx="3404870" cy="1166495"/>
            <wp:effectExtent l="0" t="0" r="889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8"/>
                    <a:stretch>
                      <a:fillRect/>
                    </a:stretch>
                  </pic:blipFill>
                  <pic:spPr>
                    <a:xfrm>
                      <a:off x="0" y="0"/>
                      <a:ext cx="3404870" cy="1166495"/>
                    </a:xfrm>
                    <a:prstGeom prst="rect">
                      <a:avLst/>
                    </a:prstGeom>
                  </pic:spPr>
                </pic:pic>
              </a:graphicData>
            </a:graphic>
          </wp:inline>
        </w:drawing>
      </w:r>
    </w:p>
    <w:p>
      <w:pPr>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 PRS processing capability</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For the PRS processing capability in a PRS processing window, UE has to report its capability with at least of the combination {N, T}, </w:t>
      </w:r>
    </w:p>
    <w:p>
      <w:pPr>
        <w:numPr>
          <w:ilvl w:val="0"/>
          <w:numId w:val="4"/>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During the first part of the window with duration of L-(T-N) msec, up to N msec of PRS symbols are expected to be buffered, where L is the duration of the PRS processing window, and (N,T) is the reported capability for MG-less PRS processing.</w:t>
      </w:r>
    </w:p>
    <w:p>
      <w:pPr>
        <w:numPr>
          <w:ilvl w:val="0"/>
          <w:numId w:val="4"/>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 UE is expected to be capable of reporting measurements derived on the PRS measured in the first window after T</w:t>
      </w:r>
      <w:r>
        <w:rPr>
          <w:rFonts w:ascii="Times New Roman" w:hAnsi="Times New Roman"/>
          <w:i/>
          <w:iCs/>
          <w:sz w:val="20"/>
          <w:szCs w:val="20"/>
        </w:rPr>
        <w:t>-N</w:t>
      </w:r>
      <w:r>
        <w:rPr>
          <w:rFonts w:hint="eastAsia" w:ascii="Times New Roman" w:hAnsi="Times New Roman"/>
          <w:i/>
          <w:iCs/>
          <w:sz w:val="20"/>
          <w:szCs w:val="20"/>
        </w:rPr>
        <w:t xml:space="preserve"> msec from the end of first part of the PRS processing window</w:t>
      </w:r>
    </w:p>
    <w:p>
      <w:pPr>
        <w:numPr>
          <w:ilvl w:val="0"/>
          <w:numId w:val="4"/>
        </w:numPr>
        <w:adjustRightInd w:val="0"/>
        <w:snapToGrid w:val="0"/>
        <w:spacing w:before="180" w:beforeLines="50" w:after="180" w:afterLines="50" w:line="240" w:lineRule="auto"/>
        <w:jc w:val="both"/>
        <w:rPr>
          <w:rFonts w:ascii="Times New Roman" w:hAnsi="Times New Roman"/>
          <w:b/>
          <w:bCs/>
          <w:i/>
          <w:iCs/>
          <w:sz w:val="24"/>
          <w:szCs w:val="24"/>
        </w:rPr>
      </w:pPr>
      <w:r>
        <w:rPr>
          <w:rFonts w:hint="eastAsia" w:ascii="Times New Roman" w:hAnsi="Times New Roman"/>
          <w:i/>
          <w:iCs/>
          <w:sz w:val="20"/>
          <w:szCs w:val="20"/>
        </w:rPr>
        <w:t>UE is not expected to be configured a PRS processing window with duration smaller than (T-N) msec</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2.3 T</w:t>
      </w:r>
      <w:r>
        <w:rPr>
          <w:rFonts w:ascii="Times New Roman" w:hAnsi="Times New Roman"/>
          <w:b/>
          <w:bCs/>
          <w:sz w:val="24"/>
          <w:szCs w:val="24"/>
        </w:rPr>
        <w:t>he conditions of PRS measurement outside MG cannot be met</w:t>
      </w:r>
    </w:p>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Following the Rel-16 specification, UE is expected to provide a location information report to LMF before a response time, where the response time should be large enough to ensure that UE can conduct all DL PRS measurements within measurement gap in a measurement period defined in TS 38.133. Therefore, a new measurement period expected to be smaller than the measurement period in Rel-16 should be defined for DL PRS measurement outside measurement gap. By doing this, LMF can configure a small response time to get a quick location information report. However, in some cases, it</w:t>
      </w:r>
      <w:r>
        <w:rPr>
          <w:rFonts w:ascii="Times New Roman" w:hAnsi="Times New Roman"/>
          <w:sz w:val="20"/>
        </w:rPr>
        <w:t>’</w:t>
      </w:r>
      <w:r>
        <w:rPr>
          <w:rFonts w:hint="eastAsia" w:ascii="Times New Roman" w:hAnsi="Times New Roman"/>
          <w:sz w:val="20"/>
        </w:rPr>
        <w:t>s hard to ensure that the DL PRS can always meet the conditions to be measured in a PRS processing window.</w:t>
      </w:r>
    </w:p>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According to the current LPP protocol, LMF can configure two response times for the early fix location information report and normal location information report respectively. We reuse this mechanism for the location information report based on the measurements conducted in the PRS processing window. For instance, as shown in Figure 3 below, UE is required to provide a first location information report before the first response time based on the measurements conducted in the PRS processing window. And, UE is required to provide a second location information report before the second response time, where the second location information doesn</w:t>
      </w:r>
      <w:r>
        <w:rPr>
          <w:rFonts w:ascii="Times New Roman" w:hAnsi="Times New Roman"/>
          <w:sz w:val="20"/>
        </w:rPr>
        <w:t>’</w:t>
      </w:r>
      <w:r>
        <w:rPr>
          <w:rFonts w:hint="eastAsia" w:ascii="Times New Roman" w:hAnsi="Times New Roman"/>
          <w:sz w:val="20"/>
        </w:rPr>
        <w:t>t necessarily require UE to provide measurements conducted in the PRS processing window (e.g. LMF may consider UE needs the measurement period assuming DL PRS measurements conducted inside measurement gap to provide the second location information report). UE can provide the first location information report as soon as possible to reduce positioning latency. As an instance, the first response time can be an early fix response time. Meanwhile, in order to have a balance between latency and accuracy, the second location information report can provide the measurements on the DL PRS resources when the conditions for PRS processing window are not met.</w:t>
      </w:r>
    </w:p>
    <w:p>
      <w:pPr>
        <w:snapToGrid w:val="0"/>
        <w:spacing w:before="180" w:beforeLines="50" w:after="180" w:afterLines="50" w:line="240" w:lineRule="auto"/>
        <w:jc w:val="right"/>
        <w:rPr>
          <w:rFonts w:ascii="Times New Roman" w:hAnsi="Times New Roman"/>
          <w:sz w:val="20"/>
        </w:rPr>
      </w:pPr>
      <w:r>
        <w:rPr>
          <w:rFonts w:ascii="Times New Roman" w:hAnsi="Times New Roman"/>
          <w:sz w:val="20"/>
        </w:rPr>
        <w:object>
          <v:shape id="_x0000_i1025" o:spt="75" type="#_x0000_t75" style="height:78.6pt;width:374.85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rPr>
        <w:t>Figure 3 Support two response times in the location request</w:t>
      </w:r>
    </w:p>
    <w:p>
      <w:pPr>
        <w:snapToGrid w:val="0"/>
        <w:spacing w:before="180" w:beforeLines="50" w:after="180" w:afterLines="50" w:line="240" w:lineRule="auto"/>
        <w:jc w:val="both"/>
        <w:rPr>
          <w:rFonts w:ascii="Times New Roman" w:hAnsi="Times New Roman"/>
          <w:b/>
          <w:bCs/>
          <w:i/>
          <w:iCs/>
          <w:sz w:val="20"/>
        </w:rPr>
      </w:pPr>
      <w:r>
        <w:rPr>
          <w:rFonts w:hint="eastAsia" w:ascii="Times New Roman" w:hAnsi="Times New Roman"/>
          <w:b/>
          <w:bCs/>
          <w:i/>
          <w:iCs/>
          <w:sz w:val="20"/>
        </w:rPr>
        <w:t xml:space="preserve">Proposal 3: </w:t>
      </w:r>
      <w:r>
        <w:rPr>
          <w:rFonts w:hint="eastAsia" w:ascii="Times New Roman" w:hAnsi="Times New Roman"/>
          <w:i/>
          <w:iCs/>
          <w:sz w:val="20"/>
        </w:rPr>
        <w:t>UE performs PRS measurement following the measurement period defined in Rel-16 when the conditions for PRS processing window are not met.</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4</w:t>
      </w:r>
      <w:r>
        <w:rPr>
          <w:rFonts w:hint="eastAsia" w:ascii="Times New Roman" w:hAnsi="Times New Roman"/>
          <w:i/>
          <w:iCs/>
          <w:sz w:val="20"/>
        </w:rPr>
        <w:t>: In order to balance the positioning latency and accuracy, LMF can configure two response times in the location information request,</w:t>
      </w:r>
    </w:p>
    <w:p>
      <w:pPr>
        <w:numPr>
          <w:ilvl w:val="0"/>
          <w:numId w:val="5"/>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 xml:space="preserve">UE is required to provide a first location information report before the first response time based on the measurements conducted in the PRS processing window. </w:t>
      </w:r>
    </w:p>
    <w:p>
      <w:pPr>
        <w:numPr>
          <w:ilvl w:val="0"/>
          <w:numId w:val="5"/>
        </w:numPr>
        <w:snapToGrid w:val="0"/>
        <w:spacing w:before="180" w:beforeLines="50" w:after="180" w:afterLines="50" w:line="240" w:lineRule="auto"/>
        <w:jc w:val="both"/>
        <w:rPr>
          <w:rFonts w:ascii="Times New Roman" w:hAnsi="Times New Roman"/>
          <w:sz w:val="20"/>
        </w:rPr>
      </w:pPr>
      <w:r>
        <w:rPr>
          <w:rFonts w:hint="eastAsia" w:ascii="Times New Roman" w:hAnsi="Times New Roman"/>
          <w:i/>
          <w:iCs/>
          <w:sz w:val="20"/>
        </w:rPr>
        <w:t>UE is required to provide a second location information report before the second response time, where the second location information doesn</w:t>
      </w:r>
      <w:r>
        <w:rPr>
          <w:rFonts w:ascii="Times New Roman" w:hAnsi="Times New Roman"/>
          <w:i/>
          <w:iCs/>
          <w:sz w:val="20"/>
        </w:rPr>
        <w:t>’</w:t>
      </w:r>
      <w:r>
        <w:rPr>
          <w:rFonts w:hint="eastAsia" w:ascii="Times New Roman" w:hAnsi="Times New Roman"/>
          <w:i/>
          <w:iCs/>
          <w:sz w:val="20"/>
        </w:rPr>
        <w:t>t necessarily require UE to provide measurements conducted in the PRS processing window.</w:t>
      </w:r>
    </w:p>
    <w:p>
      <w:pPr>
        <w:pStyle w:val="2"/>
        <w:snapToGrid w:val="0"/>
        <w:spacing w:before="180" w:beforeLines="50" w:after="180" w:afterLines="50"/>
        <w:ind w:left="431" w:hanging="431"/>
        <w:jc w:val="both"/>
        <w:rPr>
          <w:rFonts w:cs="Arial"/>
          <w:sz w:val="24"/>
          <w:szCs w:val="24"/>
          <w:lang w:val="en-US"/>
        </w:rPr>
      </w:pPr>
      <w:r>
        <w:rPr>
          <w:rFonts w:hint="eastAsia" w:cs="Arial"/>
          <w:sz w:val="24"/>
          <w:szCs w:val="24"/>
          <w:lang w:val="en-US"/>
        </w:rPr>
        <w:t>Support a more flexible configuration and reporting structure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the </w:t>
      </w:r>
      <w:r>
        <w:rPr>
          <w:rFonts w:ascii="Times New Roman" w:hAnsi="Times New Roman"/>
          <w:sz w:val="20"/>
          <w:szCs w:val="20"/>
        </w:rPr>
        <w:t xml:space="preserve">current </w:t>
      </w:r>
      <w:r>
        <w:rPr>
          <w:rFonts w:hint="eastAsia" w:ascii="Times New Roman" w:hAnsi="Times New Roman"/>
          <w:sz w:val="20"/>
          <w:szCs w:val="20"/>
        </w:rPr>
        <w:t xml:space="preserve">design, </w:t>
      </w:r>
      <w:r>
        <w:rPr>
          <w:rFonts w:ascii="Times New Roman" w:hAnsi="Times New Roman"/>
          <w:sz w:val="20"/>
          <w:szCs w:val="20"/>
        </w:rPr>
        <w:t>reporting interval</w:t>
      </w:r>
      <w:r>
        <w:rPr>
          <w:rFonts w:hint="eastAsia" w:ascii="Times New Roman" w:hAnsi="Times New Roman"/>
          <w:sz w:val="20"/>
          <w:szCs w:val="20"/>
        </w:rPr>
        <w:t xml:space="preserve"> (or response time requirement for the first location information report) or maximum </w:t>
      </w:r>
      <w:r>
        <w:rPr>
          <w:rFonts w:ascii="Times New Roman" w:hAnsi="Times New Roman"/>
          <w:sz w:val="20"/>
          <w:szCs w:val="20"/>
        </w:rPr>
        <w:t xml:space="preserve">response time for a </w:t>
      </w:r>
      <w:r>
        <w:rPr>
          <w:rFonts w:hint="eastAsia" w:ascii="Times New Roman" w:hAnsi="Times New Roman"/>
          <w:sz w:val="20"/>
          <w:szCs w:val="20"/>
        </w:rPr>
        <w:t>location information report</w:t>
      </w:r>
      <w:r>
        <w:rPr>
          <w:rFonts w:ascii="Times New Roman" w:hAnsi="Times New Roman"/>
          <w:sz w:val="20"/>
          <w:szCs w:val="20"/>
        </w:rPr>
        <w:t xml:space="preserve"> should be larger than the measurement period</w:t>
      </w:r>
      <w:r>
        <w:rPr>
          <w:rFonts w:hint="eastAsia" w:ascii="Times New Roman" w:hAnsi="Times New Roman"/>
          <w:sz w:val="20"/>
          <w:szCs w:val="20"/>
        </w:rPr>
        <w:t xml:space="preserve"> defined by RAN4</w:t>
      </w:r>
      <w:r>
        <w:rPr>
          <w:rFonts w:ascii="Times New Roman" w:hAnsi="Times New Roman"/>
          <w:sz w:val="20"/>
          <w:szCs w:val="20"/>
        </w:rPr>
        <w:t xml:space="preserve">, so that UE has enough time to measure and report the </w:t>
      </w:r>
      <w:r>
        <w:rPr>
          <w:rFonts w:hint="eastAsia" w:ascii="Times New Roman" w:hAnsi="Times New Roman"/>
          <w:sz w:val="20"/>
          <w:szCs w:val="20"/>
        </w:rPr>
        <w:t>location information</w:t>
      </w:r>
      <w:r>
        <w:rPr>
          <w:rFonts w:ascii="Times New Roman" w:hAnsi="Times New Roman"/>
          <w:sz w:val="20"/>
          <w:szCs w:val="20"/>
        </w:rPr>
        <w:t xml:space="preserve"> requested by LMF.</w:t>
      </w:r>
      <w:r>
        <w:rPr>
          <w:rFonts w:hint="eastAsia" w:ascii="Times New Roman" w:hAnsi="Times New Roman"/>
          <w:sz w:val="20"/>
          <w:szCs w:val="20"/>
        </w:rPr>
        <w:t xml:space="preserve"> </w:t>
      </w:r>
      <w:r>
        <w:rPr>
          <w:rFonts w:ascii="Times New Roman" w:hAnsi="Times New Roman"/>
          <w:sz w:val="20"/>
          <w:szCs w:val="20"/>
        </w:rPr>
        <w:t xml:space="preserve">However, the measurement period defined in TS 38.133 has to consider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 for a </w:t>
      </w:r>
      <w:r>
        <w:rPr>
          <w:rFonts w:hint="eastAsia" w:ascii="Times New Roman" w:hAnsi="Times New Roman"/>
          <w:sz w:val="20"/>
          <w:szCs w:val="20"/>
        </w:rPr>
        <w:t>location information report</w:t>
      </w:r>
      <w:r>
        <w:rPr>
          <w:rFonts w:ascii="Times New Roman" w:hAnsi="Times New Roman"/>
          <w:sz w:val="20"/>
          <w:szCs w:val="20"/>
        </w:rPr>
        <w:t xml:space="preserve">. For example, the value of </w:t>
      </w:r>
      <w:r>
        <w:rPr>
          <w:rFonts w:hint="eastAsia" w:ascii="Times New Roman" w:hAnsi="Times New Roman"/>
          <w:sz w:val="20"/>
          <w:szCs w:val="20"/>
        </w:rPr>
        <w:t xml:space="preserve">the </w:t>
      </w:r>
      <w:r>
        <w:rPr>
          <w:rFonts w:ascii="Times New Roman" w:hAnsi="Times New Roman"/>
          <w:sz w:val="20"/>
          <w:szCs w:val="20"/>
        </w:rPr>
        <w:t xml:space="preserve">measurement period shall </w:t>
      </w:r>
      <w:r>
        <w:rPr>
          <w:rFonts w:hint="eastAsia" w:ascii="Times New Roman" w:hAnsi="Times New Roman"/>
          <w:sz w:val="20"/>
          <w:szCs w:val="20"/>
        </w:rPr>
        <w:t>consider the processing time of</w:t>
      </w:r>
      <w:r>
        <w:rPr>
          <w:rFonts w:ascii="Times New Roman" w:hAnsi="Times New Roman"/>
          <w:sz w:val="20"/>
          <w:szCs w:val="20"/>
        </w:rPr>
        <w:t xml:space="preserve"> DL PRS from all positioning frequency layers and all TRPs</w:t>
      </w:r>
      <w:r>
        <w:rPr>
          <w:rFonts w:hint="eastAsia" w:ascii="Times New Roman" w:hAnsi="Times New Roman"/>
          <w:sz w:val="20"/>
          <w:szCs w:val="20"/>
        </w:rPr>
        <w:t xml:space="preserve">, which leads to large UE processing latency.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w:t>
      </w:r>
      <w:r>
        <w:rPr>
          <w:rFonts w:ascii="Times New Roman" w:hAnsi="Times New Roman"/>
          <w:i/>
          <w:sz w:val="20"/>
          <w:szCs w:val="20"/>
        </w:rPr>
        <w:t xml:space="preserve"> The measurement period defined in TS 38.133 has to consider all </w:t>
      </w:r>
      <w:r>
        <w:rPr>
          <w:rFonts w:hint="eastAsia" w:ascii="Times New Roman" w:hAnsi="Times New Roman"/>
          <w:i/>
          <w:sz w:val="20"/>
          <w:szCs w:val="20"/>
        </w:rPr>
        <w:t>DL PRS</w:t>
      </w:r>
      <w:r>
        <w:rPr>
          <w:rFonts w:ascii="Times New Roman" w:hAnsi="Times New Roman"/>
          <w:i/>
          <w:sz w:val="20"/>
          <w:szCs w:val="20"/>
        </w:rPr>
        <w:t xml:space="preserve"> configured in ProvideAssistanceData message for a </w:t>
      </w:r>
      <w:r>
        <w:rPr>
          <w:rFonts w:hint="eastAsia" w:ascii="Times New Roman" w:hAnsi="Times New Roman"/>
          <w:i/>
          <w:sz w:val="20"/>
          <w:szCs w:val="20"/>
        </w:rPr>
        <w:t>location information report, which leads to large UE processing latency.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or a specific </w:t>
      </w:r>
      <w:r>
        <w:rPr>
          <w:rFonts w:hint="eastAsia" w:ascii="Times New Roman" w:hAnsi="Times New Roman"/>
          <w:sz w:val="20"/>
          <w:szCs w:val="20"/>
        </w:rPr>
        <w:t>location information report</w:t>
      </w:r>
      <w:r>
        <w:rPr>
          <w:rFonts w:ascii="Times New Roman" w:hAnsi="Times New Roman"/>
          <w:sz w:val="20"/>
          <w:szCs w:val="20"/>
        </w:rPr>
        <w:t xml:space="preserve">, LMF should be able to select a subset of </w:t>
      </w:r>
      <w:r>
        <w:rPr>
          <w:rFonts w:hint="eastAsia" w:ascii="Times New Roman" w:hAnsi="Times New Roman"/>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measure and report the </w:t>
      </w:r>
      <w:r>
        <w:rPr>
          <w:rFonts w:hint="eastAsia" w:ascii="Times New Roman" w:hAnsi="Times New Roman"/>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hint="eastAsia" w:ascii="Times New Roman" w:hAnsi="Times New Roman"/>
          <w:sz w:val="20"/>
          <w:szCs w:val="20"/>
        </w:rPr>
        <w:t>location information report</w:t>
      </w:r>
      <w:r>
        <w:rPr>
          <w:rFonts w:ascii="Times New Roman" w:hAnsi="Times New Roman"/>
          <w:sz w:val="20"/>
          <w:szCs w:val="20"/>
        </w:rPr>
        <w:t xml:space="preserve">, UE is not necessary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By this way, the selected </w:t>
      </w:r>
      <w:r>
        <w:rPr>
          <w:rFonts w:hint="eastAsia" w:ascii="Times New Roman" w:hAnsi="Times New Roman"/>
          <w:sz w:val="20"/>
          <w:szCs w:val="20"/>
        </w:rPr>
        <w:t>DL PRS</w:t>
      </w:r>
      <w:r>
        <w:rPr>
          <w:rFonts w:ascii="Times New Roman" w:hAnsi="Times New Roman"/>
          <w:sz w:val="20"/>
          <w:szCs w:val="20"/>
        </w:rPr>
        <w:t xml:space="preserve"> may determine a short measurement period. So UE is capable of reporting the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 xml:space="preserve">in a short </w:t>
      </w:r>
      <w:r>
        <w:rPr>
          <w:rFonts w:ascii="Times New Roman" w:hAnsi="Times New Roman"/>
          <w:sz w:val="20"/>
          <w:szCs w:val="20"/>
        </w:rPr>
        <w:t>period</w:t>
      </w:r>
      <w:r>
        <w:rPr>
          <w:rFonts w:hint="eastAsia" w:ascii="Times New Roman" w:hAnsi="Times New Roman"/>
          <w:sz w:val="20"/>
          <w:szCs w:val="20"/>
        </w:rPr>
        <w:t xml:space="preserve"> </w:t>
      </w:r>
      <w:r>
        <w:rPr>
          <w:rFonts w:ascii="Times New Roman" w:hAnsi="Times New Roman"/>
          <w:sz w:val="20"/>
          <w:szCs w:val="20"/>
        </w:rPr>
        <w:t xml:space="preserve">considering the corresponding measurement period without requiring UE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As an instance, in Rel-17, LMF should be allowed to select a subset of </w:t>
      </w:r>
      <w:r>
        <w:rPr>
          <w:rFonts w:hint="eastAsia" w:ascii="Times New Roman" w:hAnsi="Times New Roman"/>
          <w:sz w:val="20"/>
          <w:szCs w:val="20"/>
        </w:rPr>
        <w:t>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Then UE shall report an early </w:t>
      </w:r>
      <w:r>
        <w:rPr>
          <w:rFonts w:hint="eastAsia" w:ascii="Times New Roman" w:hAnsi="Times New Roman"/>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hint="eastAsia" w:ascii="Times New Roman" w:hAnsi="Times New Roman"/>
          <w:sz w:val="20"/>
          <w:szCs w:val="20"/>
        </w:rPr>
        <w:t>DL PRS</w:t>
      </w:r>
      <w:r>
        <w:rPr>
          <w:rFonts w:ascii="Times New Roman" w:hAnsi="Times New Roman"/>
          <w:sz w:val="20"/>
          <w:szCs w:val="20"/>
        </w:rPr>
        <w:t>.</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for a RRM report, a measurement ID (identified by a </w:t>
      </w:r>
      <w:r>
        <w:rPr>
          <w:rFonts w:hint="eastAsia" w:ascii="Times New Roman" w:hAnsi="Times New Roman"/>
          <w:i/>
          <w:iCs/>
          <w:sz w:val="20"/>
          <w:szCs w:val="20"/>
        </w:rPr>
        <w:t>MeasId</w:t>
      </w:r>
      <w:r>
        <w:rPr>
          <w:rFonts w:hint="eastAsia" w:ascii="Times New Roman" w:hAnsi="Times New Roman"/>
          <w:sz w:val="20"/>
          <w:szCs w:val="20"/>
        </w:rPr>
        <w:t xml:space="preserve">) is indicated in the measurement report, where measurement ID includes the linking of a measurement object (identified by a </w:t>
      </w:r>
      <w:r>
        <w:rPr>
          <w:rFonts w:hint="eastAsia" w:ascii="Times New Roman" w:hAnsi="Times New Roman"/>
          <w:i/>
          <w:iCs/>
          <w:sz w:val="20"/>
          <w:szCs w:val="20"/>
        </w:rPr>
        <w:t>MeasObjectId</w:t>
      </w:r>
      <w:r>
        <w:rPr>
          <w:rFonts w:hint="eastAsia" w:ascii="Times New Roman" w:hAnsi="Times New Roman"/>
          <w:sz w:val="20"/>
          <w:szCs w:val="20"/>
        </w:rPr>
        <w:t xml:space="preserve">) and a reporting configuration (identified by a </w:t>
      </w:r>
      <w:r>
        <w:rPr>
          <w:rFonts w:hint="eastAsia" w:ascii="Times New Roman" w:hAnsi="Times New Roman"/>
          <w:i/>
          <w:iCs/>
          <w:sz w:val="20"/>
          <w:szCs w:val="20"/>
        </w:rPr>
        <w:t>ReportConfigId</w:t>
      </w:r>
      <w:r>
        <w:rPr>
          <w:rFonts w:hint="eastAsia" w:ascii="Times New Roman" w:hAnsi="Times New Roman"/>
          <w:sz w:val="20"/>
          <w:szCs w:val="20"/>
        </w:rPr>
        <w:t xml:space="preserve">). This kind of reporting structure shows flexibility to configure required RS and required </w:t>
      </w:r>
      <w:r>
        <w:rPr>
          <w:rFonts w:ascii="Times New Roman" w:hAnsi="Times New Roman"/>
          <w:sz w:val="20"/>
          <w:szCs w:val="20"/>
        </w:rPr>
        <w:t xml:space="preserve">report </w:t>
      </w:r>
      <w:r>
        <w:rPr>
          <w:rFonts w:hint="eastAsia" w:ascii="Times New Roman" w:hAnsi="Times New Roman"/>
          <w:sz w:val="20"/>
          <w:szCs w:val="20"/>
        </w:rPr>
        <w:t xml:space="preserve">contents by network. Furthermore, RAN4 has defined measurement period for each of the measurement object. Therefore, a RRM report concerning on a measurement object only needs to consider the processing time of RS that includes in the measurement object. We </w:t>
      </w:r>
      <w:r>
        <w:rPr>
          <w:rFonts w:ascii="Times New Roman" w:hAnsi="Times New Roman"/>
          <w:sz w:val="20"/>
          <w:szCs w:val="20"/>
        </w:rPr>
        <w:t>propose</w:t>
      </w:r>
      <w:r>
        <w:rPr>
          <w:rFonts w:hint="eastAsia" w:ascii="Times New Roman" w:hAnsi="Times New Roman"/>
          <w:sz w:val="20"/>
          <w:szCs w:val="20"/>
        </w:rPr>
        <w:t xml:space="preserve"> to reuse such mechanism on positioning measurement, which not only lead to the configuration flexibility but also the latency budget</w:t>
      </w:r>
      <w:r>
        <w:rPr>
          <w:rFonts w:ascii="Times New Roman" w:hAnsi="Times New Roman"/>
          <w:sz w:val="20"/>
          <w:szCs w:val="20"/>
        </w:rPr>
        <w:t xml:space="preserve"> reduction</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 xml:space="preserve">Proposal 5: </w:t>
      </w:r>
      <w:r>
        <w:rPr>
          <w:rFonts w:hint="eastAsia" w:ascii="Times New Roman" w:hAnsi="Times New Roman"/>
          <w:i/>
          <w:sz w:val="20"/>
          <w:szCs w:val="20"/>
        </w:rPr>
        <w:t>In</w:t>
      </w:r>
      <w:r>
        <w:rPr>
          <w:rFonts w:ascii="Times New Roman" w:hAnsi="Times New Roman"/>
          <w:i/>
          <w:sz w:val="20"/>
          <w:szCs w:val="20"/>
        </w:rPr>
        <w:t xml:space="preserve"> order to reduce UE measurement time of a </w:t>
      </w:r>
      <w:r>
        <w:rPr>
          <w:rFonts w:hint="eastAsia" w:ascii="Times New Roman" w:hAnsi="Times New Roman"/>
          <w:i/>
          <w:sz w:val="20"/>
          <w:szCs w:val="20"/>
        </w:rPr>
        <w:t>location information report</w:t>
      </w:r>
      <w:r>
        <w:rPr>
          <w:rFonts w:ascii="Times New Roman" w:hAnsi="Times New Roman"/>
          <w:i/>
          <w:sz w:val="20"/>
          <w:szCs w:val="20"/>
        </w:rPr>
        <w:t xml:space="preserve">, LMF should be allowed to select a subset of </w:t>
      </w:r>
      <w:r>
        <w:rPr>
          <w:rFonts w:hint="eastAsia" w:ascii="Times New Roman" w:hAnsi="Times New Roman"/>
          <w:i/>
          <w:sz w:val="20"/>
          <w:szCs w:val="20"/>
        </w:rPr>
        <w:t>DL PRS</w:t>
      </w:r>
      <w:r>
        <w:rPr>
          <w:rFonts w:ascii="Times New Roman" w:hAnsi="Times New Roman"/>
          <w:i/>
          <w:sz w:val="20"/>
          <w:szCs w:val="20"/>
        </w:rPr>
        <w:t xml:space="preserve"> from DL PRS </w:t>
      </w:r>
      <w:r>
        <w:rPr>
          <w:rFonts w:hint="eastAsia" w:ascii="Times New Roman" w:hAnsi="Times New Roman"/>
          <w:i/>
          <w:sz w:val="20"/>
          <w:szCs w:val="20"/>
        </w:rPr>
        <w:t xml:space="preserve">configured </w:t>
      </w:r>
      <w:r>
        <w:rPr>
          <w:rFonts w:ascii="Times New Roman" w:hAnsi="Times New Roman"/>
          <w:i/>
          <w:sz w:val="20"/>
          <w:szCs w:val="20"/>
        </w:rPr>
        <w:t xml:space="preserve">in ProvideAssistanceData message for UE to measure and report the </w:t>
      </w:r>
      <w:r>
        <w:rPr>
          <w:rFonts w:hint="eastAsia" w:ascii="Times New Roman" w:hAnsi="Times New Roman"/>
          <w:i/>
          <w:sz w:val="20"/>
          <w:szCs w:val="20"/>
        </w:rPr>
        <w:t xml:space="preserve">location information, where the </w:t>
      </w:r>
      <w:r>
        <w:rPr>
          <w:rFonts w:ascii="Times New Roman" w:hAnsi="Times New Roman"/>
          <w:i/>
          <w:sz w:val="20"/>
          <w:szCs w:val="20"/>
        </w:rPr>
        <w:t xml:space="preserve">subset of </w:t>
      </w:r>
      <w:r>
        <w:rPr>
          <w:rFonts w:hint="eastAsia" w:ascii="Times New Roman" w:hAnsi="Times New Roman"/>
          <w:i/>
          <w:sz w:val="20"/>
          <w:szCs w:val="20"/>
        </w:rPr>
        <w:t>DL PRS</w:t>
      </w:r>
      <w:r>
        <w:rPr>
          <w:rFonts w:ascii="Times New Roman" w:hAnsi="Times New Roman"/>
          <w:i/>
          <w:sz w:val="20"/>
          <w:szCs w:val="20"/>
        </w:rPr>
        <w:t xml:space="preserve"> </w:t>
      </w:r>
      <w:r>
        <w:rPr>
          <w:rFonts w:hint="eastAsia" w:ascii="Times New Roman" w:hAnsi="Times New Roman"/>
          <w:i/>
          <w:sz w:val="20"/>
          <w:szCs w:val="20"/>
        </w:rPr>
        <w:t xml:space="preserve">can be indicated in </w:t>
      </w:r>
      <w:r>
        <w:rPr>
          <w:rFonts w:ascii="Times New Roman" w:hAnsi="Times New Roman"/>
          <w:i/>
          <w:sz w:val="20"/>
          <w:szCs w:val="20"/>
        </w:rPr>
        <w:t>RequestLocationInformation</w:t>
      </w:r>
      <w:r>
        <w:rPr>
          <w:rFonts w:ascii="Times New Roman" w:hAnsi="Times New Roman"/>
          <w:sz w:val="20"/>
          <w:szCs w:val="20"/>
        </w:rPr>
        <w:t xml:space="preserve"> </w:t>
      </w:r>
      <w:r>
        <w:rPr>
          <w:rFonts w:ascii="Times New Roman" w:hAnsi="Times New Roman"/>
          <w:i/>
          <w:iCs/>
          <w:sz w:val="20"/>
          <w:szCs w:val="20"/>
        </w:rPr>
        <w:t>message.</w:t>
      </w:r>
    </w:p>
    <w:p>
      <w:pPr>
        <w:pStyle w:val="2"/>
        <w:snapToGrid w:val="0"/>
        <w:spacing w:before="180" w:beforeLines="50" w:after="180" w:afterLines="50"/>
        <w:ind w:left="431" w:hanging="431"/>
        <w:jc w:val="both"/>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reduce NR positioning latency, the following observations and proposals are proposed,</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Further support the following parameters for PRS processing window indication from the gNB to UE,</w:t>
      </w:r>
    </w:p>
    <w:p>
      <w:pPr>
        <w:widowControl w:val="0"/>
        <w:numPr>
          <w:ilvl w:val="0"/>
          <w:numId w:val="3"/>
        </w:numPr>
        <w:spacing w:before="180" w:beforeLines="50" w:after="180" w:afterLines="50" w:line="240" w:lineRule="auto"/>
        <w:jc w:val="both"/>
        <w:rPr>
          <w:rFonts w:ascii="Times New Roman" w:hAnsi="Times New Roman"/>
          <w:i/>
          <w:iCs/>
          <w:sz w:val="20"/>
          <w:szCs w:val="20"/>
        </w:rPr>
      </w:pPr>
      <w:r>
        <w:rPr>
          <w:rFonts w:ascii="Times New Roman" w:hAnsi="Times New Roman"/>
          <w:i/>
          <w:iCs/>
          <w:kern w:val="2"/>
          <w:sz w:val="21"/>
          <w:szCs w:val="24"/>
        </w:rPr>
        <w:t>Processing type (associated with the corresponding UE capability 1A/1B/2)</w:t>
      </w:r>
    </w:p>
    <w:p>
      <w:pPr>
        <w:widowControl w:val="0"/>
        <w:numPr>
          <w:ilvl w:val="0"/>
          <w:numId w:val="3"/>
        </w:numPr>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Band/CC-ID </w:t>
      </w:r>
      <w:r>
        <w:rPr>
          <w:rFonts w:hint="eastAsia" w:ascii="Times New Roman" w:hAnsi="Times New Roman"/>
          <w:i/>
          <w:iCs/>
          <w:sz w:val="20"/>
          <w:szCs w:val="20"/>
        </w:rPr>
        <w:t>at least for Capability 1B</w:t>
      </w:r>
    </w:p>
    <w:p>
      <w:pPr>
        <w:widowControl w:val="0"/>
        <w:numPr>
          <w:ilvl w:val="0"/>
          <w:numId w:val="3"/>
        </w:numPr>
        <w:spacing w:before="180" w:beforeLines="50" w:after="180" w:afterLines="50" w:line="240" w:lineRule="auto"/>
        <w:jc w:val="both"/>
      </w:pPr>
      <w:r>
        <w:rPr>
          <w:rFonts w:hint="eastAsia" w:ascii="Times New Roman" w:hAnsi="Times New Roman"/>
          <w:i/>
          <w:iCs/>
          <w:sz w:val="20"/>
          <w:szCs w:val="20"/>
        </w:rPr>
        <w:t>Positioning frequency layer ID in order to support a single positioning frequency layer in a PRS processing window</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According to the measurement period defined in TS 38.133, UE needs additional latency for sampling and processing of the last PRS sample, which leads to a longer measurement period.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For the PRS processing capability in a PRS processing window,  UE has to report its capability with at least of the combination {N, T}, </w:t>
      </w:r>
    </w:p>
    <w:p>
      <w:pPr>
        <w:numPr>
          <w:ilvl w:val="0"/>
          <w:numId w:val="4"/>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During the first part of the window with duration of L-(T-N) msec, up to N msec of PRS symbols are expected to be buffered, where L is the duration of the PRS processing window, and (N,T) is the reported capability for MG-less PRS processing.</w:t>
      </w:r>
    </w:p>
    <w:p>
      <w:pPr>
        <w:numPr>
          <w:ilvl w:val="0"/>
          <w:numId w:val="4"/>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 UE is expected to be capable of reporting measurements derived on the PRS measured in the first window after T</w:t>
      </w:r>
      <w:r>
        <w:rPr>
          <w:rFonts w:ascii="Times New Roman" w:hAnsi="Times New Roman"/>
          <w:i/>
          <w:iCs/>
          <w:sz w:val="20"/>
          <w:szCs w:val="20"/>
        </w:rPr>
        <w:t>-N</w:t>
      </w:r>
      <w:r>
        <w:rPr>
          <w:rFonts w:hint="eastAsia" w:ascii="Times New Roman" w:hAnsi="Times New Roman"/>
          <w:i/>
          <w:iCs/>
          <w:sz w:val="20"/>
          <w:szCs w:val="20"/>
        </w:rPr>
        <w:t xml:space="preserve"> msec from the end of first part of the PRS processing window</w:t>
      </w:r>
    </w:p>
    <w:p>
      <w:pPr>
        <w:numPr>
          <w:ilvl w:val="0"/>
          <w:numId w:val="4"/>
        </w:numPr>
        <w:adjustRightInd w:val="0"/>
        <w:snapToGrid w:val="0"/>
        <w:spacing w:before="180" w:beforeLines="50" w:after="180" w:afterLines="50" w:line="240" w:lineRule="auto"/>
        <w:jc w:val="both"/>
        <w:rPr>
          <w:rFonts w:ascii="Times New Roman" w:hAnsi="Times New Roman"/>
          <w:b/>
          <w:bCs/>
          <w:i/>
          <w:iCs/>
          <w:sz w:val="24"/>
          <w:szCs w:val="24"/>
        </w:rPr>
      </w:pPr>
      <w:r>
        <w:rPr>
          <w:rFonts w:hint="eastAsia" w:ascii="Times New Roman" w:hAnsi="Times New Roman"/>
          <w:i/>
          <w:iCs/>
          <w:sz w:val="20"/>
          <w:szCs w:val="20"/>
        </w:rPr>
        <w:t>UE is not expected to be configured a PRS processing window with duration smaller than (T-N) msec</w:t>
      </w:r>
    </w:p>
    <w:p>
      <w:pPr>
        <w:snapToGrid w:val="0"/>
        <w:spacing w:before="180" w:beforeLines="50" w:after="180" w:afterLines="50" w:line="240" w:lineRule="auto"/>
        <w:jc w:val="both"/>
        <w:rPr>
          <w:rFonts w:ascii="Times New Roman" w:hAnsi="Times New Roman"/>
          <w:b/>
          <w:bCs/>
          <w:i/>
          <w:iCs/>
          <w:sz w:val="20"/>
        </w:rPr>
      </w:pPr>
      <w:r>
        <w:rPr>
          <w:rFonts w:hint="eastAsia" w:ascii="Times New Roman" w:hAnsi="Times New Roman"/>
          <w:b/>
          <w:bCs/>
          <w:i/>
          <w:iCs/>
          <w:sz w:val="20"/>
        </w:rPr>
        <w:t xml:space="preserve">Proposal 3: </w:t>
      </w:r>
      <w:r>
        <w:rPr>
          <w:rFonts w:hint="eastAsia" w:ascii="Times New Roman" w:hAnsi="Times New Roman"/>
          <w:i/>
          <w:iCs/>
          <w:sz w:val="20"/>
        </w:rPr>
        <w:t>UE performs PRS measurement following the measurement period defined in Rel-16 when the conditions for PRS processing window are not met.</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4</w:t>
      </w:r>
      <w:r>
        <w:rPr>
          <w:rFonts w:hint="eastAsia" w:ascii="Times New Roman" w:hAnsi="Times New Roman"/>
          <w:i/>
          <w:iCs/>
          <w:sz w:val="20"/>
        </w:rPr>
        <w:t>: In order to balance the positioning latency and accuracy, LMF can configure two response times in the location information request,</w:t>
      </w:r>
    </w:p>
    <w:p>
      <w:pPr>
        <w:numPr>
          <w:ilvl w:val="0"/>
          <w:numId w:val="5"/>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 xml:space="preserve">UE is required to provide a first location information report before the first response time based on the measurements conducted in the PRS processing window. </w:t>
      </w:r>
    </w:p>
    <w:p>
      <w:pPr>
        <w:numPr>
          <w:ilvl w:val="0"/>
          <w:numId w:val="5"/>
        </w:numPr>
        <w:snapToGrid w:val="0"/>
        <w:spacing w:before="180" w:beforeLines="50" w:after="180" w:afterLines="50" w:line="240" w:lineRule="auto"/>
        <w:jc w:val="both"/>
        <w:rPr>
          <w:rFonts w:ascii="Times New Roman" w:hAnsi="Times New Roman"/>
          <w:sz w:val="20"/>
        </w:rPr>
      </w:pPr>
      <w:r>
        <w:rPr>
          <w:rFonts w:hint="eastAsia" w:ascii="Times New Roman" w:hAnsi="Times New Roman"/>
          <w:i/>
          <w:iCs/>
          <w:sz w:val="20"/>
        </w:rPr>
        <w:t>UE is required to provide a second location information report before the second response time, where the second location information doesn</w:t>
      </w:r>
      <w:r>
        <w:rPr>
          <w:rFonts w:ascii="Times New Roman" w:hAnsi="Times New Roman"/>
          <w:i/>
          <w:iCs/>
          <w:sz w:val="20"/>
        </w:rPr>
        <w:t>’</w:t>
      </w:r>
      <w:r>
        <w:rPr>
          <w:rFonts w:hint="eastAsia" w:ascii="Times New Roman" w:hAnsi="Times New Roman"/>
          <w:i/>
          <w:iCs/>
          <w:sz w:val="20"/>
        </w:rPr>
        <w:t>t necessarily require UE to provide measurements conducted in the PRS processing window.</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w:t>
      </w:r>
      <w:r>
        <w:rPr>
          <w:rFonts w:ascii="Times New Roman" w:hAnsi="Times New Roman"/>
          <w:i/>
          <w:sz w:val="20"/>
          <w:szCs w:val="20"/>
        </w:rPr>
        <w:t xml:space="preserve"> The measurement period defined in TS 38.133 has to consider all </w:t>
      </w:r>
      <w:r>
        <w:rPr>
          <w:rFonts w:hint="eastAsia" w:ascii="Times New Roman" w:hAnsi="Times New Roman"/>
          <w:i/>
          <w:sz w:val="20"/>
          <w:szCs w:val="20"/>
        </w:rPr>
        <w:t>DL PRS</w:t>
      </w:r>
      <w:r>
        <w:rPr>
          <w:rFonts w:ascii="Times New Roman" w:hAnsi="Times New Roman"/>
          <w:i/>
          <w:sz w:val="20"/>
          <w:szCs w:val="20"/>
        </w:rPr>
        <w:t xml:space="preserve"> configured in ProvideAssistanceData message for a </w:t>
      </w:r>
      <w:r>
        <w:rPr>
          <w:rFonts w:hint="eastAsia" w:ascii="Times New Roman" w:hAnsi="Times New Roman"/>
          <w:i/>
          <w:sz w:val="20"/>
          <w:szCs w:val="20"/>
        </w:rPr>
        <w:t>location information report, which leads to large UE processing latency.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i/>
          <w:sz w:val="20"/>
          <w:szCs w:val="20"/>
        </w:rPr>
        <w:t xml:space="preserve">Proposal 5: </w:t>
      </w:r>
      <w:r>
        <w:rPr>
          <w:rFonts w:hint="eastAsia" w:ascii="Times New Roman" w:hAnsi="Times New Roman"/>
          <w:i/>
          <w:sz w:val="20"/>
          <w:szCs w:val="20"/>
        </w:rPr>
        <w:t>In</w:t>
      </w:r>
      <w:r>
        <w:rPr>
          <w:rFonts w:ascii="Times New Roman" w:hAnsi="Times New Roman"/>
          <w:i/>
          <w:sz w:val="20"/>
          <w:szCs w:val="20"/>
        </w:rPr>
        <w:t xml:space="preserve"> order to reduce UE measurement time of a </w:t>
      </w:r>
      <w:r>
        <w:rPr>
          <w:rFonts w:hint="eastAsia" w:ascii="Times New Roman" w:hAnsi="Times New Roman"/>
          <w:i/>
          <w:sz w:val="20"/>
          <w:szCs w:val="20"/>
        </w:rPr>
        <w:t>location information report</w:t>
      </w:r>
      <w:r>
        <w:rPr>
          <w:rFonts w:ascii="Times New Roman" w:hAnsi="Times New Roman"/>
          <w:i/>
          <w:sz w:val="20"/>
          <w:szCs w:val="20"/>
        </w:rPr>
        <w:t xml:space="preserve">, LMF should be allowed to select a subset of </w:t>
      </w:r>
      <w:r>
        <w:rPr>
          <w:rFonts w:hint="eastAsia" w:ascii="Times New Roman" w:hAnsi="Times New Roman"/>
          <w:i/>
          <w:sz w:val="20"/>
          <w:szCs w:val="20"/>
        </w:rPr>
        <w:t>DL PRS</w:t>
      </w:r>
      <w:r>
        <w:rPr>
          <w:rFonts w:ascii="Times New Roman" w:hAnsi="Times New Roman"/>
          <w:i/>
          <w:sz w:val="20"/>
          <w:szCs w:val="20"/>
        </w:rPr>
        <w:t xml:space="preserve"> from DL PRS </w:t>
      </w:r>
      <w:r>
        <w:rPr>
          <w:rFonts w:hint="eastAsia" w:ascii="Times New Roman" w:hAnsi="Times New Roman"/>
          <w:i/>
          <w:sz w:val="20"/>
          <w:szCs w:val="20"/>
        </w:rPr>
        <w:t xml:space="preserve">configured </w:t>
      </w:r>
      <w:r>
        <w:rPr>
          <w:rFonts w:ascii="Times New Roman" w:hAnsi="Times New Roman"/>
          <w:i/>
          <w:sz w:val="20"/>
          <w:szCs w:val="20"/>
        </w:rPr>
        <w:t xml:space="preserve">in ProvideAssistanceData message for UE to measure and report the </w:t>
      </w:r>
      <w:r>
        <w:rPr>
          <w:rFonts w:hint="eastAsia" w:ascii="Times New Roman" w:hAnsi="Times New Roman"/>
          <w:i/>
          <w:sz w:val="20"/>
          <w:szCs w:val="20"/>
        </w:rPr>
        <w:t xml:space="preserve">location information, where the </w:t>
      </w:r>
      <w:r>
        <w:rPr>
          <w:rFonts w:ascii="Times New Roman" w:hAnsi="Times New Roman"/>
          <w:i/>
          <w:sz w:val="20"/>
          <w:szCs w:val="20"/>
        </w:rPr>
        <w:t xml:space="preserve">subset of </w:t>
      </w:r>
      <w:r>
        <w:rPr>
          <w:rFonts w:hint="eastAsia" w:ascii="Times New Roman" w:hAnsi="Times New Roman"/>
          <w:i/>
          <w:sz w:val="20"/>
          <w:szCs w:val="20"/>
        </w:rPr>
        <w:t>DL PRS</w:t>
      </w:r>
      <w:r>
        <w:rPr>
          <w:rFonts w:ascii="Times New Roman" w:hAnsi="Times New Roman"/>
          <w:i/>
          <w:sz w:val="20"/>
          <w:szCs w:val="20"/>
        </w:rPr>
        <w:t xml:space="preserve"> </w:t>
      </w:r>
      <w:r>
        <w:rPr>
          <w:rFonts w:hint="eastAsia" w:ascii="Times New Roman" w:hAnsi="Times New Roman"/>
          <w:i/>
          <w:sz w:val="20"/>
          <w:szCs w:val="20"/>
        </w:rPr>
        <w:t xml:space="preserve">can be indicated in </w:t>
      </w:r>
      <w:r>
        <w:rPr>
          <w:rFonts w:ascii="Times New Roman" w:hAnsi="Times New Roman"/>
          <w:i/>
          <w:sz w:val="20"/>
          <w:szCs w:val="20"/>
        </w:rPr>
        <w:t>RequestLocationInformation</w:t>
      </w:r>
      <w:r>
        <w:rPr>
          <w:rFonts w:ascii="Times New Roman" w:hAnsi="Times New Roman"/>
          <w:sz w:val="20"/>
          <w:szCs w:val="20"/>
        </w:rPr>
        <w:t xml:space="preserve"> </w:t>
      </w:r>
      <w:r>
        <w:rPr>
          <w:rFonts w:ascii="Times New Roman" w:hAnsi="Times New Roman"/>
          <w:i/>
          <w:iCs/>
          <w:sz w:val="20"/>
          <w:szCs w:val="20"/>
        </w:rPr>
        <w:t>message.</w:t>
      </w:r>
    </w:p>
    <w:p>
      <w:pPr>
        <w:pStyle w:val="2"/>
        <w:snapToGrid w:val="0"/>
        <w:spacing w:before="180" w:beforeLines="50" w:after="180" w:afterLines="50"/>
        <w:ind w:left="431" w:hanging="431"/>
        <w:jc w:val="both"/>
        <w:rPr>
          <w:sz w:val="28"/>
          <w:lang w:val="en-US"/>
        </w:rPr>
      </w:pPr>
      <w:r>
        <w:rPr>
          <w:sz w:val="28"/>
          <w:lang w:val="en-US"/>
        </w:rPr>
        <w:t>References</w:t>
      </w:r>
    </w:p>
    <w:bookmarkEnd w:id="6"/>
    <w:bookmarkEnd w:id="7"/>
    <w:p>
      <w:pPr>
        <w:pStyle w:val="88"/>
        <w:numPr>
          <w:ilvl w:val="0"/>
          <w:numId w:val="6"/>
        </w:numPr>
        <w:snapToGrid w:val="0"/>
        <w:spacing w:before="180" w:beforeLines="50" w:after="180" w:afterLines="50"/>
        <w:jc w:val="both"/>
        <w:rPr>
          <w:sz w:val="20"/>
          <w:szCs w:val="20"/>
        </w:rPr>
      </w:pPr>
      <w:r>
        <w:rPr>
          <w:sz w:val="20"/>
          <w:szCs w:val="20"/>
        </w:rPr>
        <w:t>RP-210903</w:t>
      </w:r>
      <w:r>
        <w:rPr>
          <w:rFonts w:hint="eastAsia"/>
          <w:sz w:val="20"/>
          <w:szCs w:val="20"/>
        </w:rPr>
        <w:t xml:space="preserve"> Revised WID on NR Positioning Enhancements, Intel Corporation, CATT</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F85C7"/>
    <w:multiLevelType w:val="singleLevel"/>
    <w:tmpl w:val="8A8F85C7"/>
    <w:lvl w:ilvl="0" w:tentative="0">
      <w:start w:val="1"/>
      <w:numFmt w:val="bullet"/>
      <w:lvlText w:val="∙"/>
      <w:lvlJc w:val="left"/>
      <w:pPr>
        <w:ind w:left="420" w:hanging="420"/>
      </w:pPr>
      <w:rPr>
        <w:rFonts w:hint="default" w:ascii="Arial" w:hAnsi="Arial" w:cs="Arial"/>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EC5ABE56"/>
    <w:multiLevelType w:val="singleLevel"/>
    <w:tmpl w:val="EC5ABE56"/>
    <w:lvl w:ilvl="0" w:tentative="0">
      <w:start w:val="1"/>
      <w:numFmt w:val="bullet"/>
      <w:lvlText w:val="∙"/>
      <w:lvlJc w:val="left"/>
      <w:pPr>
        <w:ind w:left="420" w:hanging="420"/>
      </w:pPr>
      <w:rPr>
        <w:rFonts w:hint="default" w:ascii="Arial" w:hAnsi="Arial" w:cs="Arial"/>
      </w:rPr>
    </w:lvl>
  </w:abstractNum>
  <w:abstractNum w:abstractNumId="3">
    <w:nsid w:val="008C7D51"/>
    <w:multiLevelType w:val="singleLevel"/>
    <w:tmpl w:val="008C7D51"/>
    <w:lvl w:ilvl="0" w:tentative="0">
      <w:start w:val="1"/>
      <w:numFmt w:val="bullet"/>
      <w:lvlText w:val="∙"/>
      <w:lvlJc w:val="left"/>
      <w:pPr>
        <w:tabs>
          <w:tab w:val="left" w:pos="420"/>
        </w:tabs>
        <w:ind w:left="840" w:hanging="420"/>
      </w:pPr>
      <w:rPr>
        <w:rFonts w:hint="default" w:ascii="Arial" w:hAnsi="Arial" w:cs="Arial"/>
      </w:rPr>
    </w:lvl>
  </w:abstractNum>
  <w:abstractNum w:abstractNumId="4">
    <w:nsid w:val="317F7D91"/>
    <w:multiLevelType w:val="multilevel"/>
    <w:tmpl w:val="317F7D91"/>
    <w:lvl w:ilvl="0" w:tentative="0">
      <w:start w:val="1"/>
      <w:numFmt w:val="decimal"/>
      <w:pStyle w:val="2"/>
      <w:lvlText w:val="%1."/>
      <w:lvlJc w:val="left"/>
      <w:pPr>
        <w:ind w:left="432" w:hanging="432"/>
      </w:pPr>
      <w:rPr>
        <w:rFonts w:hint="default" w:ascii="Arial Unicode MS" w:hAnsi="Arial Unicode MS" w:eastAsia="Arial Unicode MS" w:cs="Arial Unicode MS"/>
        <w:sz w:val="28"/>
        <w:szCs w:val="28"/>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33197C77"/>
    <w:multiLevelType w:val="multilevel"/>
    <w:tmpl w:val="33197C77"/>
    <w:lvl w:ilvl="0" w:tentative="0">
      <w:start w:val="1"/>
      <w:numFmt w:val="bullet"/>
      <w:pStyle w:val="9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2E"/>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1ED"/>
    <w:rsid w:val="000242BB"/>
    <w:rsid w:val="000243C7"/>
    <w:rsid w:val="00024477"/>
    <w:rsid w:val="00024496"/>
    <w:rsid w:val="000244B9"/>
    <w:rsid w:val="000244CA"/>
    <w:rsid w:val="0002489B"/>
    <w:rsid w:val="00024C3A"/>
    <w:rsid w:val="0002523F"/>
    <w:rsid w:val="000254A2"/>
    <w:rsid w:val="0002565A"/>
    <w:rsid w:val="00025695"/>
    <w:rsid w:val="00025AF0"/>
    <w:rsid w:val="00025E62"/>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1AE"/>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BDD"/>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1CE3"/>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675"/>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A57"/>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A77"/>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1E8"/>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94"/>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50A"/>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4EFC"/>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6D4"/>
    <w:rsid w:val="001A5912"/>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0E8"/>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04F"/>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B8"/>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1CB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00"/>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4B8"/>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062"/>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3A8"/>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7AE"/>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575"/>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1"/>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7E3"/>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0F"/>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A31"/>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3C39"/>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124"/>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E1"/>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5D5"/>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1C4"/>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A66"/>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67B"/>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430"/>
    <w:rsid w:val="00407500"/>
    <w:rsid w:val="00407596"/>
    <w:rsid w:val="004078FD"/>
    <w:rsid w:val="00407CFB"/>
    <w:rsid w:val="00407DCF"/>
    <w:rsid w:val="00407F34"/>
    <w:rsid w:val="0041042D"/>
    <w:rsid w:val="004104A8"/>
    <w:rsid w:val="004107B3"/>
    <w:rsid w:val="00410B05"/>
    <w:rsid w:val="00410E18"/>
    <w:rsid w:val="00411087"/>
    <w:rsid w:val="004111C5"/>
    <w:rsid w:val="00411304"/>
    <w:rsid w:val="00411466"/>
    <w:rsid w:val="00411661"/>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3AAB"/>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2D6"/>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858"/>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B08"/>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5C3"/>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15E"/>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26C"/>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C69"/>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ACA"/>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DE0"/>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4E60"/>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7D"/>
    <w:rsid w:val="005E5FCB"/>
    <w:rsid w:val="005E610D"/>
    <w:rsid w:val="005E647F"/>
    <w:rsid w:val="005E67EF"/>
    <w:rsid w:val="005E6E84"/>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54B"/>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2F"/>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5D"/>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C57"/>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A8"/>
    <w:rsid w:val="00684CF0"/>
    <w:rsid w:val="00684DCE"/>
    <w:rsid w:val="006853AD"/>
    <w:rsid w:val="0068556D"/>
    <w:rsid w:val="00685643"/>
    <w:rsid w:val="00685690"/>
    <w:rsid w:val="00685E78"/>
    <w:rsid w:val="00685F07"/>
    <w:rsid w:val="006862C5"/>
    <w:rsid w:val="006862D4"/>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9B1"/>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167"/>
    <w:rsid w:val="006973A9"/>
    <w:rsid w:val="006973DD"/>
    <w:rsid w:val="006976BF"/>
    <w:rsid w:val="0069789B"/>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9E"/>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4C8"/>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0FC9"/>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04"/>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254"/>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55C"/>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03"/>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D99"/>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5A1"/>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AF"/>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9A"/>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885"/>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56"/>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01"/>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361"/>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17E7E"/>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433"/>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929"/>
    <w:rsid w:val="009E5AC3"/>
    <w:rsid w:val="009E5BA6"/>
    <w:rsid w:val="009E5CAC"/>
    <w:rsid w:val="009E61FC"/>
    <w:rsid w:val="009E6347"/>
    <w:rsid w:val="009E675C"/>
    <w:rsid w:val="009E70BF"/>
    <w:rsid w:val="009E725C"/>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90"/>
    <w:rsid w:val="009F22BA"/>
    <w:rsid w:val="009F2472"/>
    <w:rsid w:val="009F25C5"/>
    <w:rsid w:val="009F27BD"/>
    <w:rsid w:val="009F295A"/>
    <w:rsid w:val="009F2B72"/>
    <w:rsid w:val="009F2DAE"/>
    <w:rsid w:val="009F301D"/>
    <w:rsid w:val="009F353B"/>
    <w:rsid w:val="009F3B04"/>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5C"/>
    <w:rsid w:val="00A301AE"/>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8FA"/>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9F2"/>
    <w:rsid w:val="00A96E78"/>
    <w:rsid w:val="00A96FCD"/>
    <w:rsid w:val="00A97602"/>
    <w:rsid w:val="00A97745"/>
    <w:rsid w:val="00A9779D"/>
    <w:rsid w:val="00A97811"/>
    <w:rsid w:val="00A97B2F"/>
    <w:rsid w:val="00A97C20"/>
    <w:rsid w:val="00AA08D9"/>
    <w:rsid w:val="00AA098D"/>
    <w:rsid w:val="00AA0A31"/>
    <w:rsid w:val="00AA0BA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7B"/>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2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231"/>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1EDF"/>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E8E"/>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6D2"/>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5EB"/>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E9"/>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6B7"/>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799"/>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DF6"/>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A0E"/>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A4"/>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1A6"/>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9F9"/>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28E8"/>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16"/>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C7"/>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5F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270"/>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AA"/>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B08"/>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7"/>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9"/>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9"/>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532"/>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0F8"/>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3E7"/>
    <w:rsid w:val="00F308D7"/>
    <w:rsid w:val="00F30A69"/>
    <w:rsid w:val="00F30B06"/>
    <w:rsid w:val="00F30F8A"/>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62"/>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93"/>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CF9"/>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C9F"/>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49D8"/>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BF052D"/>
    <w:rsid w:val="01C45A13"/>
    <w:rsid w:val="01C64B4C"/>
    <w:rsid w:val="01C75A29"/>
    <w:rsid w:val="01C9044A"/>
    <w:rsid w:val="01C95D65"/>
    <w:rsid w:val="01C96560"/>
    <w:rsid w:val="01C97249"/>
    <w:rsid w:val="01CD5F6F"/>
    <w:rsid w:val="01D02B63"/>
    <w:rsid w:val="01D55471"/>
    <w:rsid w:val="01D762EF"/>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B5A0E"/>
    <w:rsid w:val="023D69A0"/>
    <w:rsid w:val="023F46B5"/>
    <w:rsid w:val="02410A4C"/>
    <w:rsid w:val="0243174E"/>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3C1244"/>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11BDB"/>
    <w:rsid w:val="03665CB5"/>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76213"/>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A95FBF"/>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5F84C03"/>
    <w:rsid w:val="06017039"/>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74ED8"/>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D476B"/>
    <w:rsid w:val="077E3FD9"/>
    <w:rsid w:val="077F73A3"/>
    <w:rsid w:val="0781135A"/>
    <w:rsid w:val="07853698"/>
    <w:rsid w:val="07963CE1"/>
    <w:rsid w:val="07996370"/>
    <w:rsid w:val="079B1264"/>
    <w:rsid w:val="079D08EF"/>
    <w:rsid w:val="07A23DBE"/>
    <w:rsid w:val="07A33C2D"/>
    <w:rsid w:val="07A355E3"/>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926E1"/>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318F3"/>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EF3DEE"/>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B4695"/>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3362B"/>
    <w:rsid w:val="09E72ECE"/>
    <w:rsid w:val="09E90A62"/>
    <w:rsid w:val="09EA2D1D"/>
    <w:rsid w:val="09EC5603"/>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918"/>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83460"/>
    <w:rsid w:val="0B1A291A"/>
    <w:rsid w:val="0B21391B"/>
    <w:rsid w:val="0B22625B"/>
    <w:rsid w:val="0B241422"/>
    <w:rsid w:val="0B254CAA"/>
    <w:rsid w:val="0B28501B"/>
    <w:rsid w:val="0B286656"/>
    <w:rsid w:val="0B2C57D7"/>
    <w:rsid w:val="0B31368D"/>
    <w:rsid w:val="0B316748"/>
    <w:rsid w:val="0B341F38"/>
    <w:rsid w:val="0B3440C0"/>
    <w:rsid w:val="0B3B65E0"/>
    <w:rsid w:val="0B3C005F"/>
    <w:rsid w:val="0B3F6DEE"/>
    <w:rsid w:val="0B424AD2"/>
    <w:rsid w:val="0B437D18"/>
    <w:rsid w:val="0B447488"/>
    <w:rsid w:val="0B455738"/>
    <w:rsid w:val="0B461A38"/>
    <w:rsid w:val="0B470BD2"/>
    <w:rsid w:val="0B4B49C7"/>
    <w:rsid w:val="0B4C214A"/>
    <w:rsid w:val="0B5527AB"/>
    <w:rsid w:val="0B594D3B"/>
    <w:rsid w:val="0B5B5300"/>
    <w:rsid w:val="0B5D1B4E"/>
    <w:rsid w:val="0B5D3445"/>
    <w:rsid w:val="0B61477B"/>
    <w:rsid w:val="0B645FBC"/>
    <w:rsid w:val="0B65171B"/>
    <w:rsid w:val="0B660644"/>
    <w:rsid w:val="0B6B272A"/>
    <w:rsid w:val="0B6D1F77"/>
    <w:rsid w:val="0B723D3E"/>
    <w:rsid w:val="0B744432"/>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35062"/>
    <w:rsid w:val="0C9465C2"/>
    <w:rsid w:val="0C980F53"/>
    <w:rsid w:val="0C9964AA"/>
    <w:rsid w:val="0C9A5993"/>
    <w:rsid w:val="0CA43FE3"/>
    <w:rsid w:val="0CA763A8"/>
    <w:rsid w:val="0CAA0DDF"/>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2D82"/>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4E6FE2"/>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A127B"/>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73A1C"/>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04D41"/>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BE526A"/>
    <w:rsid w:val="0EC21AFD"/>
    <w:rsid w:val="0EC66F72"/>
    <w:rsid w:val="0ECC276B"/>
    <w:rsid w:val="0ECC4567"/>
    <w:rsid w:val="0ECF7C65"/>
    <w:rsid w:val="0ED20EA8"/>
    <w:rsid w:val="0ED32F6C"/>
    <w:rsid w:val="0ED7249D"/>
    <w:rsid w:val="0ED84546"/>
    <w:rsid w:val="0EDB1B85"/>
    <w:rsid w:val="0EE13C95"/>
    <w:rsid w:val="0EE2623B"/>
    <w:rsid w:val="0EE268CF"/>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11D76"/>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193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3D4B58"/>
    <w:rsid w:val="10410667"/>
    <w:rsid w:val="10412885"/>
    <w:rsid w:val="104445C3"/>
    <w:rsid w:val="10463F92"/>
    <w:rsid w:val="1046747A"/>
    <w:rsid w:val="1048111A"/>
    <w:rsid w:val="104A2D6A"/>
    <w:rsid w:val="104B3FBB"/>
    <w:rsid w:val="104F503B"/>
    <w:rsid w:val="105806F2"/>
    <w:rsid w:val="105C20DD"/>
    <w:rsid w:val="105F040F"/>
    <w:rsid w:val="106104D8"/>
    <w:rsid w:val="10614B4D"/>
    <w:rsid w:val="106807AB"/>
    <w:rsid w:val="10682153"/>
    <w:rsid w:val="10697106"/>
    <w:rsid w:val="106E50C7"/>
    <w:rsid w:val="106F37A6"/>
    <w:rsid w:val="106F4BF2"/>
    <w:rsid w:val="10720A1D"/>
    <w:rsid w:val="107459A2"/>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9291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9061C"/>
    <w:rsid w:val="112A1FBF"/>
    <w:rsid w:val="112B625A"/>
    <w:rsid w:val="112B7FD2"/>
    <w:rsid w:val="112F025F"/>
    <w:rsid w:val="11330D3D"/>
    <w:rsid w:val="11347954"/>
    <w:rsid w:val="11366FA7"/>
    <w:rsid w:val="113B4AF5"/>
    <w:rsid w:val="113D45ED"/>
    <w:rsid w:val="11487E4B"/>
    <w:rsid w:val="114B2327"/>
    <w:rsid w:val="114B246A"/>
    <w:rsid w:val="114F0BFC"/>
    <w:rsid w:val="11537076"/>
    <w:rsid w:val="11560B24"/>
    <w:rsid w:val="11566C12"/>
    <w:rsid w:val="115759CE"/>
    <w:rsid w:val="115808BE"/>
    <w:rsid w:val="115967C5"/>
    <w:rsid w:val="115973A2"/>
    <w:rsid w:val="115B138B"/>
    <w:rsid w:val="115B2FE6"/>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1968F8"/>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5E5692"/>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126D1"/>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05FF9"/>
    <w:rsid w:val="13834E54"/>
    <w:rsid w:val="138C3BB4"/>
    <w:rsid w:val="138D1B3C"/>
    <w:rsid w:val="138E21E8"/>
    <w:rsid w:val="139703D5"/>
    <w:rsid w:val="13AA36AA"/>
    <w:rsid w:val="13AA72DA"/>
    <w:rsid w:val="13AE4A5F"/>
    <w:rsid w:val="13AF27E1"/>
    <w:rsid w:val="13B106F0"/>
    <w:rsid w:val="13B21C06"/>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0296"/>
    <w:rsid w:val="141167D5"/>
    <w:rsid w:val="14175A82"/>
    <w:rsid w:val="14193B64"/>
    <w:rsid w:val="141E629C"/>
    <w:rsid w:val="141E756F"/>
    <w:rsid w:val="141F1925"/>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74EC3"/>
    <w:rsid w:val="14B03AF1"/>
    <w:rsid w:val="14B04A2F"/>
    <w:rsid w:val="14B3042E"/>
    <w:rsid w:val="14B63D6A"/>
    <w:rsid w:val="14B872BA"/>
    <w:rsid w:val="14BF672C"/>
    <w:rsid w:val="14C209A7"/>
    <w:rsid w:val="14C453B3"/>
    <w:rsid w:val="14C569D9"/>
    <w:rsid w:val="14C65E96"/>
    <w:rsid w:val="14CA27FE"/>
    <w:rsid w:val="14CB0124"/>
    <w:rsid w:val="14CF658B"/>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062EE"/>
    <w:rsid w:val="15387A07"/>
    <w:rsid w:val="153A5FE7"/>
    <w:rsid w:val="153C1F3A"/>
    <w:rsid w:val="153D0A90"/>
    <w:rsid w:val="153D638E"/>
    <w:rsid w:val="153E4B6C"/>
    <w:rsid w:val="15413E16"/>
    <w:rsid w:val="15424AED"/>
    <w:rsid w:val="15446B31"/>
    <w:rsid w:val="15494BB0"/>
    <w:rsid w:val="154A5317"/>
    <w:rsid w:val="154B28D3"/>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65DCD"/>
    <w:rsid w:val="15CA1544"/>
    <w:rsid w:val="15CB24A5"/>
    <w:rsid w:val="15CB56F8"/>
    <w:rsid w:val="15D0130C"/>
    <w:rsid w:val="15D21BE6"/>
    <w:rsid w:val="15D23567"/>
    <w:rsid w:val="15D2523F"/>
    <w:rsid w:val="15D61E56"/>
    <w:rsid w:val="15DC216E"/>
    <w:rsid w:val="15DD2EBE"/>
    <w:rsid w:val="15DD7FCF"/>
    <w:rsid w:val="15E0628C"/>
    <w:rsid w:val="15E177B2"/>
    <w:rsid w:val="15E247C1"/>
    <w:rsid w:val="15E4589D"/>
    <w:rsid w:val="15E577C7"/>
    <w:rsid w:val="15EA10AD"/>
    <w:rsid w:val="15EB18DC"/>
    <w:rsid w:val="15F04781"/>
    <w:rsid w:val="15F92C7D"/>
    <w:rsid w:val="15FE64D4"/>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950B9"/>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4F45EC"/>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1E4B"/>
    <w:rsid w:val="1830781F"/>
    <w:rsid w:val="18346E3B"/>
    <w:rsid w:val="183C1763"/>
    <w:rsid w:val="183D327D"/>
    <w:rsid w:val="18421D9B"/>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82C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1D51EB"/>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5E6537"/>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21413"/>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8F5F93"/>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9F69DB"/>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00B89"/>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C69D5"/>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914A1"/>
    <w:rsid w:val="1EFB26CD"/>
    <w:rsid w:val="1EFB41E9"/>
    <w:rsid w:val="1EFB52F7"/>
    <w:rsid w:val="1EFD50BF"/>
    <w:rsid w:val="1F030A54"/>
    <w:rsid w:val="1F0A6660"/>
    <w:rsid w:val="1F0A6B45"/>
    <w:rsid w:val="1F113D7D"/>
    <w:rsid w:val="1F123E71"/>
    <w:rsid w:val="1F1A0620"/>
    <w:rsid w:val="1F1B3A11"/>
    <w:rsid w:val="1F210B92"/>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6496C"/>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D60A4"/>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230C"/>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93D01"/>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10EE6"/>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DC777B"/>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29E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45D8F"/>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43598"/>
    <w:rsid w:val="22F773B9"/>
    <w:rsid w:val="22FD7CE4"/>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DE28BD"/>
    <w:rsid w:val="23E1678B"/>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4112F"/>
    <w:rsid w:val="24D57D61"/>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B0ED9"/>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63BD7"/>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F733E"/>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C6679"/>
    <w:rsid w:val="26FE5EF3"/>
    <w:rsid w:val="27007DB1"/>
    <w:rsid w:val="27023FD8"/>
    <w:rsid w:val="270268FC"/>
    <w:rsid w:val="270A184E"/>
    <w:rsid w:val="270B3BA8"/>
    <w:rsid w:val="27115F5E"/>
    <w:rsid w:val="271438F4"/>
    <w:rsid w:val="27146B11"/>
    <w:rsid w:val="27181BBE"/>
    <w:rsid w:val="272201E2"/>
    <w:rsid w:val="27233E96"/>
    <w:rsid w:val="27242AB3"/>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01C54"/>
    <w:rsid w:val="28125E32"/>
    <w:rsid w:val="2814140F"/>
    <w:rsid w:val="281B518B"/>
    <w:rsid w:val="28214635"/>
    <w:rsid w:val="28243CC8"/>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3F4EF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85825"/>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768E4"/>
    <w:rsid w:val="2AC9741F"/>
    <w:rsid w:val="2ADA1FD1"/>
    <w:rsid w:val="2AE020A3"/>
    <w:rsid w:val="2AE24F5D"/>
    <w:rsid w:val="2AEC5EB6"/>
    <w:rsid w:val="2AF012D3"/>
    <w:rsid w:val="2AF2081B"/>
    <w:rsid w:val="2AF32409"/>
    <w:rsid w:val="2AF560CB"/>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46E80"/>
    <w:rsid w:val="2C1A363B"/>
    <w:rsid w:val="2C1E1B6A"/>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D0840"/>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0DE0"/>
    <w:rsid w:val="2E5024D8"/>
    <w:rsid w:val="2E5C4F9B"/>
    <w:rsid w:val="2E605AE6"/>
    <w:rsid w:val="2E643BF9"/>
    <w:rsid w:val="2E660A34"/>
    <w:rsid w:val="2E680509"/>
    <w:rsid w:val="2E686180"/>
    <w:rsid w:val="2E69530D"/>
    <w:rsid w:val="2E725AB5"/>
    <w:rsid w:val="2E8725F8"/>
    <w:rsid w:val="2E89270D"/>
    <w:rsid w:val="2E8F0511"/>
    <w:rsid w:val="2E9101F7"/>
    <w:rsid w:val="2E9326A8"/>
    <w:rsid w:val="2E9344BB"/>
    <w:rsid w:val="2E962627"/>
    <w:rsid w:val="2EA21C01"/>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2570A"/>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6E72"/>
    <w:rsid w:val="2FB47BC5"/>
    <w:rsid w:val="2FB52841"/>
    <w:rsid w:val="2FB54744"/>
    <w:rsid w:val="2FB72CA0"/>
    <w:rsid w:val="2FBC3537"/>
    <w:rsid w:val="2FC601C1"/>
    <w:rsid w:val="2FC70CB8"/>
    <w:rsid w:val="2FC91B89"/>
    <w:rsid w:val="2FC97397"/>
    <w:rsid w:val="2FCA1C72"/>
    <w:rsid w:val="2FCB0E21"/>
    <w:rsid w:val="2FCD4B9C"/>
    <w:rsid w:val="2FCD57A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75E14"/>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8E7290"/>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11DD2"/>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A1BD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37AA1"/>
    <w:rsid w:val="31D51C36"/>
    <w:rsid w:val="31D540D9"/>
    <w:rsid w:val="31DE3A93"/>
    <w:rsid w:val="31E25BB5"/>
    <w:rsid w:val="31E52C31"/>
    <w:rsid w:val="31E52EB1"/>
    <w:rsid w:val="31E76A1E"/>
    <w:rsid w:val="31E9770D"/>
    <w:rsid w:val="31EA415E"/>
    <w:rsid w:val="31EE7E78"/>
    <w:rsid w:val="31F205B0"/>
    <w:rsid w:val="31F329DC"/>
    <w:rsid w:val="31F90CA1"/>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3E564D"/>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7729A"/>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A6C56"/>
    <w:rsid w:val="33EB5F44"/>
    <w:rsid w:val="33ED3F3D"/>
    <w:rsid w:val="33EF3DF2"/>
    <w:rsid w:val="33F52196"/>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84CCD"/>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63F04"/>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A4E6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83C8C"/>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074A0"/>
    <w:rsid w:val="35F10AFB"/>
    <w:rsid w:val="35F14DB5"/>
    <w:rsid w:val="35F43DF2"/>
    <w:rsid w:val="35F500F0"/>
    <w:rsid w:val="35F60672"/>
    <w:rsid w:val="35FB4038"/>
    <w:rsid w:val="35FE5605"/>
    <w:rsid w:val="35FF189A"/>
    <w:rsid w:val="36013E8A"/>
    <w:rsid w:val="360219E2"/>
    <w:rsid w:val="36044720"/>
    <w:rsid w:val="360D6CAB"/>
    <w:rsid w:val="360E2A7E"/>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86ED2"/>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A5191"/>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74AC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B74CB"/>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34F41"/>
    <w:rsid w:val="381551D3"/>
    <w:rsid w:val="38160CEE"/>
    <w:rsid w:val="38193A25"/>
    <w:rsid w:val="381A2672"/>
    <w:rsid w:val="381B1473"/>
    <w:rsid w:val="381F275F"/>
    <w:rsid w:val="3820735F"/>
    <w:rsid w:val="38271EE5"/>
    <w:rsid w:val="38293CD1"/>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065DF"/>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016E1"/>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9F4A7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1CB0"/>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00231"/>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01F5"/>
    <w:rsid w:val="3DD36973"/>
    <w:rsid w:val="3DD841B7"/>
    <w:rsid w:val="3DDA347F"/>
    <w:rsid w:val="3DDA7899"/>
    <w:rsid w:val="3DDB2B21"/>
    <w:rsid w:val="3DDC6D31"/>
    <w:rsid w:val="3DE0651C"/>
    <w:rsid w:val="3DE107A0"/>
    <w:rsid w:val="3DE121B4"/>
    <w:rsid w:val="3DE21CE1"/>
    <w:rsid w:val="3DE413BA"/>
    <w:rsid w:val="3DE46B10"/>
    <w:rsid w:val="3DE51DA2"/>
    <w:rsid w:val="3DE5488F"/>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7336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0A0"/>
    <w:rsid w:val="3F982F2C"/>
    <w:rsid w:val="3F993301"/>
    <w:rsid w:val="3F9B40F5"/>
    <w:rsid w:val="3F9D7BD2"/>
    <w:rsid w:val="3F9E0741"/>
    <w:rsid w:val="3F9F0C4C"/>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50F2"/>
    <w:rsid w:val="402769AB"/>
    <w:rsid w:val="4029301D"/>
    <w:rsid w:val="40297D18"/>
    <w:rsid w:val="402C7086"/>
    <w:rsid w:val="403403F4"/>
    <w:rsid w:val="4035533B"/>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5F2DAE"/>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80190"/>
    <w:rsid w:val="40AB14CD"/>
    <w:rsid w:val="40AF577A"/>
    <w:rsid w:val="40B2039B"/>
    <w:rsid w:val="40B62E81"/>
    <w:rsid w:val="40B70C3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428A"/>
    <w:rsid w:val="41197446"/>
    <w:rsid w:val="411E4103"/>
    <w:rsid w:val="4122711C"/>
    <w:rsid w:val="4125135B"/>
    <w:rsid w:val="4126297D"/>
    <w:rsid w:val="412911E8"/>
    <w:rsid w:val="412A3388"/>
    <w:rsid w:val="412B354D"/>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95975"/>
    <w:rsid w:val="421D56A4"/>
    <w:rsid w:val="421D7B36"/>
    <w:rsid w:val="4221530F"/>
    <w:rsid w:val="422345EF"/>
    <w:rsid w:val="42240668"/>
    <w:rsid w:val="42262DA1"/>
    <w:rsid w:val="422A1E24"/>
    <w:rsid w:val="422E486B"/>
    <w:rsid w:val="422F428A"/>
    <w:rsid w:val="42330617"/>
    <w:rsid w:val="423865E7"/>
    <w:rsid w:val="423A25B5"/>
    <w:rsid w:val="423B5924"/>
    <w:rsid w:val="4249353E"/>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C716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95DAB"/>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11DC6"/>
    <w:rsid w:val="44570940"/>
    <w:rsid w:val="44574B2B"/>
    <w:rsid w:val="44597AA8"/>
    <w:rsid w:val="445F64DC"/>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C6551"/>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45221"/>
    <w:rsid w:val="46283117"/>
    <w:rsid w:val="46290F3D"/>
    <w:rsid w:val="462A26F1"/>
    <w:rsid w:val="462A5404"/>
    <w:rsid w:val="46330A6C"/>
    <w:rsid w:val="46353B16"/>
    <w:rsid w:val="46367AAC"/>
    <w:rsid w:val="46370057"/>
    <w:rsid w:val="463B1BA0"/>
    <w:rsid w:val="463B2ADE"/>
    <w:rsid w:val="463C5F54"/>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008C"/>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DC1F84"/>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AF32DF6"/>
    <w:rsid w:val="4B002C3A"/>
    <w:rsid w:val="4B026804"/>
    <w:rsid w:val="4B03068A"/>
    <w:rsid w:val="4B0346BA"/>
    <w:rsid w:val="4B04025E"/>
    <w:rsid w:val="4B045160"/>
    <w:rsid w:val="4B052A2F"/>
    <w:rsid w:val="4B055C00"/>
    <w:rsid w:val="4B0A2867"/>
    <w:rsid w:val="4B0C0DD8"/>
    <w:rsid w:val="4B135609"/>
    <w:rsid w:val="4B151186"/>
    <w:rsid w:val="4B1606EF"/>
    <w:rsid w:val="4B1C67FA"/>
    <w:rsid w:val="4B1D2051"/>
    <w:rsid w:val="4B1D73DC"/>
    <w:rsid w:val="4B206A6B"/>
    <w:rsid w:val="4B297805"/>
    <w:rsid w:val="4B2C4BDE"/>
    <w:rsid w:val="4B2C6873"/>
    <w:rsid w:val="4B3529AA"/>
    <w:rsid w:val="4B3C403E"/>
    <w:rsid w:val="4B3D64CE"/>
    <w:rsid w:val="4B3E753D"/>
    <w:rsid w:val="4B417217"/>
    <w:rsid w:val="4B426FC8"/>
    <w:rsid w:val="4B4A1E20"/>
    <w:rsid w:val="4B4B77CC"/>
    <w:rsid w:val="4B4F2FCA"/>
    <w:rsid w:val="4B4F3F08"/>
    <w:rsid w:val="4B585189"/>
    <w:rsid w:val="4B594B62"/>
    <w:rsid w:val="4B595225"/>
    <w:rsid w:val="4B5B261F"/>
    <w:rsid w:val="4B6305EB"/>
    <w:rsid w:val="4B643275"/>
    <w:rsid w:val="4B682D59"/>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93497"/>
    <w:rsid w:val="4B9B0E7F"/>
    <w:rsid w:val="4B9E2880"/>
    <w:rsid w:val="4BA06898"/>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16C9F"/>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0E36D1"/>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5BB4"/>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70A4E"/>
    <w:rsid w:val="4DDB6B69"/>
    <w:rsid w:val="4DDE609A"/>
    <w:rsid w:val="4DE100E7"/>
    <w:rsid w:val="4DE52367"/>
    <w:rsid w:val="4DE902AE"/>
    <w:rsid w:val="4DE961A1"/>
    <w:rsid w:val="4DEE222F"/>
    <w:rsid w:val="4DF56404"/>
    <w:rsid w:val="4DF57D5B"/>
    <w:rsid w:val="4DF869E7"/>
    <w:rsid w:val="4DF9057F"/>
    <w:rsid w:val="4DFB053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3B6F"/>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4C1C"/>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C671B"/>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0159E"/>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919FE"/>
    <w:rsid w:val="51BA76CA"/>
    <w:rsid w:val="51BC09C0"/>
    <w:rsid w:val="51BC2F4E"/>
    <w:rsid w:val="51BD7EC2"/>
    <w:rsid w:val="51C07BA0"/>
    <w:rsid w:val="51C44E72"/>
    <w:rsid w:val="51C65BC0"/>
    <w:rsid w:val="51C7106B"/>
    <w:rsid w:val="51CA63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8E00BB"/>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45AAB"/>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C30DC"/>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AF0634"/>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D0B01"/>
    <w:rsid w:val="54DF40D5"/>
    <w:rsid w:val="54E06C11"/>
    <w:rsid w:val="54E17CA8"/>
    <w:rsid w:val="54E21F4F"/>
    <w:rsid w:val="54E22A7D"/>
    <w:rsid w:val="54E57F3E"/>
    <w:rsid w:val="54E74D81"/>
    <w:rsid w:val="54E925A9"/>
    <w:rsid w:val="54E95BA4"/>
    <w:rsid w:val="54FA25E8"/>
    <w:rsid w:val="550203D9"/>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967F1"/>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B19DF"/>
    <w:rsid w:val="57BF4BA2"/>
    <w:rsid w:val="57C0641D"/>
    <w:rsid w:val="57C302C5"/>
    <w:rsid w:val="57C648C9"/>
    <w:rsid w:val="57C931DC"/>
    <w:rsid w:val="57D01F4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3F2B3B"/>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B60EC"/>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1338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22945"/>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771A"/>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E7EC0"/>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43AEB"/>
    <w:rsid w:val="5B776ECE"/>
    <w:rsid w:val="5B787AF7"/>
    <w:rsid w:val="5B795FF8"/>
    <w:rsid w:val="5B7E1425"/>
    <w:rsid w:val="5B7E573E"/>
    <w:rsid w:val="5B822E9B"/>
    <w:rsid w:val="5B85261F"/>
    <w:rsid w:val="5B8613EF"/>
    <w:rsid w:val="5B893FE8"/>
    <w:rsid w:val="5B923338"/>
    <w:rsid w:val="5B931939"/>
    <w:rsid w:val="5B936DAD"/>
    <w:rsid w:val="5B941286"/>
    <w:rsid w:val="5B96388B"/>
    <w:rsid w:val="5B9A22EA"/>
    <w:rsid w:val="5B9C7EC8"/>
    <w:rsid w:val="5B9D515A"/>
    <w:rsid w:val="5B9E66F6"/>
    <w:rsid w:val="5BA21FBD"/>
    <w:rsid w:val="5BAD443C"/>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344"/>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75CA0"/>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70CB1"/>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83522"/>
    <w:rsid w:val="5D9B61ED"/>
    <w:rsid w:val="5DA13035"/>
    <w:rsid w:val="5DA81A7E"/>
    <w:rsid w:val="5DAE44C7"/>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9C29A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B2C20"/>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77C5A"/>
    <w:rsid w:val="5FA948D4"/>
    <w:rsid w:val="5FB11875"/>
    <w:rsid w:val="5FB372F0"/>
    <w:rsid w:val="5FB65990"/>
    <w:rsid w:val="5FBD61BC"/>
    <w:rsid w:val="5FBF330D"/>
    <w:rsid w:val="5FC017AD"/>
    <w:rsid w:val="5FC142EE"/>
    <w:rsid w:val="5FD61C9D"/>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5423A"/>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1328D"/>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315B7"/>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95A13"/>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86BFB"/>
    <w:rsid w:val="629C1E1E"/>
    <w:rsid w:val="62A07A27"/>
    <w:rsid w:val="62A46F9E"/>
    <w:rsid w:val="62A72DD4"/>
    <w:rsid w:val="62A87D09"/>
    <w:rsid w:val="62A97E19"/>
    <w:rsid w:val="62AC5F9D"/>
    <w:rsid w:val="62AE1EDC"/>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42350"/>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67549"/>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5500D"/>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15EBB"/>
    <w:rsid w:val="64267B2C"/>
    <w:rsid w:val="642C2369"/>
    <w:rsid w:val="642C3D72"/>
    <w:rsid w:val="6435158C"/>
    <w:rsid w:val="64361A2B"/>
    <w:rsid w:val="64477E7E"/>
    <w:rsid w:val="644C64F7"/>
    <w:rsid w:val="644E7565"/>
    <w:rsid w:val="644F2E3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44BD3"/>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56191"/>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6708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938D8"/>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05050"/>
    <w:rsid w:val="6873094C"/>
    <w:rsid w:val="68741757"/>
    <w:rsid w:val="68780264"/>
    <w:rsid w:val="687B3831"/>
    <w:rsid w:val="687F5E75"/>
    <w:rsid w:val="68851CBF"/>
    <w:rsid w:val="688617AE"/>
    <w:rsid w:val="68864BA5"/>
    <w:rsid w:val="688709AF"/>
    <w:rsid w:val="6887389F"/>
    <w:rsid w:val="688839FC"/>
    <w:rsid w:val="688C5DFF"/>
    <w:rsid w:val="689434DA"/>
    <w:rsid w:val="68944368"/>
    <w:rsid w:val="68947E21"/>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EE5298"/>
    <w:rsid w:val="68F3092C"/>
    <w:rsid w:val="68F76E9E"/>
    <w:rsid w:val="68F91985"/>
    <w:rsid w:val="68FB1295"/>
    <w:rsid w:val="69035FD7"/>
    <w:rsid w:val="690716F0"/>
    <w:rsid w:val="69072F35"/>
    <w:rsid w:val="69075094"/>
    <w:rsid w:val="690916D6"/>
    <w:rsid w:val="69093C6E"/>
    <w:rsid w:val="690B0012"/>
    <w:rsid w:val="690C55C1"/>
    <w:rsid w:val="691146C8"/>
    <w:rsid w:val="69133D61"/>
    <w:rsid w:val="69153A94"/>
    <w:rsid w:val="69157157"/>
    <w:rsid w:val="69161875"/>
    <w:rsid w:val="691619F4"/>
    <w:rsid w:val="691C4691"/>
    <w:rsid w:val="69202781"/>
    <w:rsid w:val="69261439"/>
    <w:rsid w:val="69286342"/>
    <w:rsid w:val="69291483"/>
    <w:rsid w:val="69337B4A"/>
    <w:rsid w:val="693A0AAA"/>
    <w:rsid w:val="693A7B08"/>
    <w:rsid w:val="693C3285"/>
    <w:rsid w:val="693C4AC3"/>
    <w:rsid w:val="693F5E7E"/>
    <w:rsid w:val="694101FB"/>
    <w:rsid w:val="69442B21"/>
    <w:rsid w:val="69442DC6"/>
    <w:rsid w:val="6945515E"/>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96473"/>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B94772"/>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302"/>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7524A"/>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067"/>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538D4"/>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D6FE8"/>
    <w:rsid w:val="6CDF7F0C"/>
    <w:rsid w:val="6CE17CF5"/>
    <w:rsid w:val="6CE33F52"/>
    <w:rsid w:val="6CE3651E"/>
    <w:rsid w:val="6CE425FD"/>
    <w:rsid w:val="6CE6543A"/>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3CC6"/>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3C43"/>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6941"/>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C587C"/>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95BB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57962"/>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D543B"/>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C6832"/>
    <w:rsid w:val="718D2D25"/>
    <w:rsid w:val="71900F60"/>
    <w:rsid w:val="719079B8"/>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EF78FE"/>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E4678"/>
    <w:rsid w:val="738F3A55"/>
    <w:rsid w:val="738F6BA3"/>
    <w:rsid w:val="73920802"/>
    <w:rsid w:val="73946E3C"/>
    <w:rsid w:val="739942FF"/>
    <w:rsid w:val="739B22D3"/>
    <w:rsid w:val="739C1D97"/>
    <w:rsid w:val="739D6379"/>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7195D"/>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A30BE"/>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93B2D"/>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5569C"/>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340DD"/>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1124"/>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C0546"/>
    <w:rsid w:val="76FF75D2"/>
    <w:rsid w:val="77037F72"/>
    <w:rsid w:val="770421EC"/>
    <w:rsid w:val="77046690"/>
    <w:rsid w:val="77050573"/>
    <w:rsid w:val="77051CAB"/>
    <w:rsid w:val="77066555"/>
    <w:rsid w:val="77067A75"/>
    <w:rsid w:val="7707185C"/>
    <w:rsid w:val="770760C1"/>
    <w:rsid w:val="770A715A"/>
    <w:rsid w:val="770F6535"/>
    <w:rsid w:val="77111055"/>
    <w:rsid w:val="7717373F"/>
    <w:rsid w:val="77187B86"/>
    <w:rsid w:val="7719244E"/>
    <w:rsid w:val="771F4A89"/>
    <w:rsid w:val="7720678D"/>
    <w:rsid w:val="77211E91"/>
    <w:rsid w:val="772258EE"/>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34BBC"/>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80512"/>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327C"/>
    <w:rsid w:val="79E05069"/>
    <w:rsid w:val="79EC2700"/>
    <w:rsid w:val="79ED6250"/>
    <w:rsid w:val="79F000FA"/>
    <w:rsid w:val="79F02DBF"/>
    <w:rsid w:val="79F213AE"/>
    <w:rsid w:val="79F778C7"/>
    <w:rsid w:val="79FD0561"/>
    <w:rsid w:val="79FD2872"/>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D1AF6"/>
    <w:rsid w:val="7A3E47B4"/>
    <w:rsid w:val="7A3F1642"/>
    <w:rsid w:val="7A4458F9"/>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0470"/>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871FF"/>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234F4"/>
    <w:rsid w:val="7C376963"/>
    <w:rsid w:val="7C3A3357"/>
    <w:rsid w:val="7C3E1BAB"/>
    <w:rsid w:val="7C435428"/>
    <w:rsid w:val="7C442165"/>
    <w:rsid w:val="7C471E28"/>
    <w:rsid w:val="7C483CAB"/>
    <w:rsid w:val="7C494D84"/>
    <w:rsid w:val="7C4C1116"/>
    <w:rsid w:val="7C4D3EE8"/>
    <w:rsid w:val="7C4F1BE9"/>
    <w:rsid w:val="7C5004C4"/>
    <w:rsid w:val="7C517000"/>
    <w:rsid w:val="7C555F28"/>
    <w:rsid w:val="7C5B13DA"/>
    <w:rsid w:val="7C5B35FA"/>
    <w:rsid w:val="7C5C7CD0"/>
    <w:rsid w:val="7C610622"/>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CD4836"/>
    <w:rsid w:val="7CD070AA"/>
    <w:rsid w:val="7CD215D3"/>
    <w:rsid w:val="7CD258A4"/>
    <w:rsid w:val="7CD31C3B"/>
    <w:rsid w:val="7CD60EFF"/>
    <w:rsid w:val="7CD77461"/>
    <w:rsid w:val="7CD853D0"/>
    <w:rsid w:val="7CDD2005"/>
    <w:rsid w:val="7CE07596"/>
    <w:rsid w:val="7CE12241"/>
    <w:rsid w:val="7CE41E92"/>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11A65"/>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41AF1"/>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F24C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 w:val="7FFF496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numPr>
        <w:ilvl w:val="1"/>
        <w:numId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99">
    <w:name w:val="3GPP Agreements"/>
    <w:basedOn w:val="1"/>
    <w:qFormat/>
    <w:uiPriority w:val="0"/>
    <w:pPr>
      <w:numPr>
        <w:ilvl w:val="0"/>
        <w:numId w:val="2"/>
      </w:numPr>
      <w:autoSpaceDE w:val="0"/>
      <w:autoSpaceDN w:val="0"/>
      <w:adjustRightInd w:val="0"/>
      <w:snapToGrid w:val="0"/>
      <w:spacing w:after="120" w:line="259" w:lineRule="auto"/>
      <w:jc w:val="both"/>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F6BED-2765-434C-A9A3-8640762EDD8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2279</Words>
  <Characters>12994</Characters>
  <Lines>108</Lines>
  <Paragraphs>30</Paragraphs>
  <TotalTime>36</TotalTime>
  <ScaleCrop>false</ScaleCrop>
  <LinksUpToDate>false</LinksUpToDate>
  <CharactersWithSpaces>15243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2022-02-14T06:30:06Z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